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rPr>
        <w:t xml:space="preserve">Private &amp; Confidential – Not for publication</w:t>
      </w:r>
    </w:p>
    <w:p>
      <w:pPr>
        <w:spacing w:after="120"/>
      </w:pPr>
      <w:r>
        <w:t xml:space="preserve">Strictly without prejudice save as to costs is NOT claimed; this is an open letter before action.</w:t>
      </w:r>
    </w:p>
    <w:p>
      <w:pPr>
        <w:spacing w:after="120"/>
      </w:pPr>
      <w:r>
        <w:t xml:space="preserve">FAO The Directors</w:t>
      </w:r>
    </w:p>
    <w:p>
      <w:pPr>
        <w:spacing w:after="120"/>
      </w:pPr>
      <w:r>
        <w:t xml:space="preserve">Tregarth Bearings Limited</w:t>
      </w:r>
    </w:p>
    <w:p>
      <w:pPr>
        <w:spacing w:after="120"/>
      </w:pPr>
      <w:r>
        <w:t xml:space="preserve">Unit 4, Calder Vale Trading Estate, Wakefield WF2 7AS</w:t>
      </w:r>
    </w:p>
    <w:p>
      <w:pPr>
        <w:spacing w:after="120"/>
      </w:pPr>
      <w:r>
        <w:rPr>
          <w:b/>
          <w:bCs/>
        </w:rPr>
        <w:t xml:space="preserve">Our ref: </w:t>
      </w:r>
      <w:r>
        <w:t xml:space="preserve">SW/TG/PEN-0164</w:t>
      </w:r>
      <w:r>
        <w:t xml:space="preserve">        Date: 28 October 2024</w:t>
      </w:r>
    </w:p>
    <w:p>
      <w:pPr>
        <w:spacing w:after="120"/>
      </w:pPr>
      <w:r>
        <w:t xml:space="preserve">Dear Sirs</w:t>
      </w:r>
    </w:p>
    <w:p>
      <w:pPr>
        <w:spacing w:after="120"/>
      </w:pPr>
      <w:r>
        <w:rPr>
          <w:b/>
          <w:bCs/>
        </w:rPr>
        <w:t xml:space="preserve">LETTER BEFORE ACTION – Pennington Industries Limited v Tregarth Bearings Limited</w:t>
      </w:r>
    </w:p>
    <w:p>
      <w:pPr>
        <w:spacing w:after="120"/>
      </w:pPr>
      <w:r>
        <w:t xml:space="preserve">We act for Pennington Industries Limited (“our client” or “Pennington”), of Brunel Works, Tyseley Industrial Estate, Birmingham B11 2BH. This letter is sent in accordance with the Pre-Action Protocol for the resolution of commercial disputes. We invite your full response within 21 days.</w:t>
      </w:r>
    </w:p>
    <w:p>
      <w:pPr>
        <w:pStyle w:val="Heading2"/>
      </w:pPr>
      <w:r>
        <w:t xml:space="preserve">The parties and the contract</w:t>
      </w:r>
    </w:p>
    <w:p>
      <w:pPr>
        <w:spacing w:after="120"/>
      </w:pPr>
      <w:r>
        <w:t xml:space="preserve">By a written supply contract dated 14 March 2024 (the “Contract”), comprising our client’s purchase order PEN-PO-2024-0411 and your quotation reference TGQ-7208-0224, you agreed to manufacture and supply precision angular-contact spindle bearings of your type TB-7208-HP (the “Bearings”) for use in our client’s PX-180 and PX-220 centrifugal pump ranges. The Contract incorporated your acknowledgement that the Bearings were required to meet our client’s engineering specification PEN-ES-4471 Rev C, including a raceway surface hardness of not less than 60 HRC and an L10 rating life of not less than 30,000 hours at the rated duty.</w:t>
      </w:r>
    </w:p>
    <w:p>
      <w:pPr>
        <w:spacing w:after="120"/>
      </w:pPr>
      <w:r>
        <w:t xml:space="preserve">Between May and August 2024 you delivered 1,240 Bearings against the Contract at a unit price of £229.50, a total of £284,580 (excluding VAT).</w:t>
      </w:r>
    </w:p>
    <w:p>
      <w:pPr>
        <w:pStyle w:val="Heading2"/>
      </w:pPr>
      <w:r>
        <w:t xml:space="preserve">The defects</w:t>
      </w:r>
    </w:p>
    <w:p>
      <w:pPr>
        <w:spacing w:after="120"/>
      </w:pPr>
      <w:r>
        <w:t xml:space="preserve">From September 2024 our client experienced premature bearing failures in PX-180 and PX-220 pumps fitted with the Bearings, both on its production line and in the field at customer sites operated by municipal water undertakings. Independent metallurgical analysis carried out by Argent Metallurgical Services has established that a representative sample of the failed Bearings exhibited raceway surface hardness of between 52 and 55 HRC, materially below the contractual minimum of 60 HRC, consistent with an incorrect or incomplete heat-treatment (through-hardening) process. The under-specification of hardness caused accelerated sub-surface fatigue spalling and premature failure well short of the contractual L10 rating life.</w:t>
      </w:r>
    </w:p>
    <w:p>
      <w:pPr>
        <w:pStyle w:val="Heading2"/>
      </w:pPr>
      <w:r>
        <w:t xml:space="preserve">Breaches</w:t>
      </w:r>
    </w:p>
    <w:p>
      <w:pPr>
        <w:spacing w:after="120"/>
      </w:pPr>
      <w:r>
        <w:t xml:space="preserve">In supplying Bearings that did not meet specification PEN-ES-4471 Rev C, you are in breach of the express terms of the Contract and of the terms implied by sections 13 and 14 of the Sale of Goods Act 1979 (correspondence with description; satisfactory quality; fitness for purpose). The Bearings were neither of satisfactory quality nor fit for the purpose for which they were supplied, which purpose was known to you.</w:t>
      </w:r>
    </w:p>
    <w:p>
      <w:pPr>
        <w:pStyle w:val="Heading2"/>
      </w:pPr>
      <w:r>
        <w:t xml:space="preserve">Loss and damage</w:t>
      </w:r>
    </w:p>
    <w:p>
      <w:pPr>
        <w:spacing w:after="120"/>
      </w:pPr>
      <w:r>
        <w:t xml:space="preserve">As a result of your breaches our client has suffered loss presently estimated at £2,418,640, comprising the cost of recall and rework of affected pumps, the cost of replacement bearings sourced from an alternative supplier, customer credits and contractual remedies paid to affected customers, investigation and expert costs, and wasted management time. A detailed schedule of loss will follow. Our client reserves the right to claim further sums as they crystallise.</w:t>
      </w:r>
    </w:p>
    <w:p>
      <w:pPr>
        <w:pStyle w:val="Heading2"/>
      </w:pPr>
      <w:r>
        <w:t xml:space="preserve">Action required</w:t>
      </w:r>
    </w:p>
    <w:p>
      <w:pPr>
        <w:spacing w:after="120"/>
      </w:pPr>
      <w:r>
        <w:t xml:space="preserve">We require you, within 21 days of the date of this letter, to: (1) admit liability; (2) confirm your proposals for compensating our client in full; and (3) provide copies of all heat-treatment and quality-assurance records for the Bearings supplied under the Contract, including furnace charts and hardness test certificates. If you do not respond substantively within that period, our client will commence proceedings without further notice.</w:t>
      </w:r>
    </w:p>
    <w:p>
      <w:pPr>
        <w:spacing w:after="120"/>
      </w:pPr>
      <w:r>
        <w:t xml:space="preserve">We look forward to hearing from you, or from your solicitors, within 21 days.</w:t>
      </w:r>
    </w:p>
    <w:p>
      <w:pPr>
        <w:spacing w:after="120"/>
      </w:pPr>
      <w:r>
        <w:t xml:space="preserve">Yours faithfully</w:t>
      </w:r>
    </w:p>
    <w:p>
      <w:pPr>
        <w:spacing w:after="120"/>
      </w:pPr>
      <w:r>
        <w:t xml:space="preserve"/>
      </w:r>
    </w:p>
    <w:p>
      <w:pPr>
        <w:spacing w:after="120"/>
      </w:pPr>
      <w:r>
        <w:rPr>
          <w:b/>
          <w:bCs/>
        </w:rPr>
        <w:t xml:space="preserve">Whitfield Carter LLP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pPr>
    <w:r>
      <w:rPr>
        <w:color w:val="666666"/>
        <w:sz w:val="14"/>
        <w:szCs w:val="14"/>
      </w:rPr>
      <w:t xml:space="preserve">Whitfield Carter LLP is a limited liability partnership registered in England and Wales. Confidential and may be legally privileged.</w:t>
    </w:r>
  </w:p>
  <w:p>
    <w:pPr>
      <w:tabs>
        <w:tab w:val="right" w:pos="9026"/>
      </w:tabs>
    </w:pPr>
    <w:r>
      <w:rPr>
        <w:sz w:val="16"/>
        <w:szCs w:val="16"/>
      </w:rPr>
      <w:t xml:space="preserve"/>
    </w:r>
    <w:r>
      <w:rPr>
        <w:sz w:val="16"/>
        <w:szCs w:val="16"/>
      </w:rPr>
      <w:t xml:space="preserve">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sz w:val="26"/>
        <w:szCs w:val="26"/>
      </w:rPr>
      <w:t xml:space="preserve">WHITFIELD CARTER LLP</w:t>
    </w:r>
  </w:p>
  <w:p>
    <w:pPr>
      <w:pBdr>
        <w:bottom w:val="single" w:color="2E4A6B" w:sz="6" w:space="4"/>
      </w:pBdr>
      <w:spacing w:after="160"/>
    </w:pPr>
    <w:r>
      <w:rPr>
        <w:sz w:val="16"/>
        <w:szCs w:val="16"/>
      </w:rPr>
      <w:t xml:space="preserve">22 Bishopsgate, London EC2N 4BQ  ·  www.whitfieldcarter.com  ·  +44 (0)20 7946 0820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134" w:hanging="567"/>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10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2026-06-28T10:20:14.935Z</dcterms:created>
  <dcterms:modified xsi:type="dcterms:W3CDTF">2026-06-28T10:20:14.935Z</dcterms:modified>
</cp:coreProperties>
</file>

<file path=docProps/custom.xml><?xml version="1.0" encoding="utf-8"?>
<Properties xmlns="http://schemas.openxmlformats.org/officeDocument/2006/custom-properties" xmlns:vt="http://schemas.openxmlformats.org/officeDocument/2006/docPropsVTypes"/>
</file>