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6"/>
          <w:szCs w:val="26"/>
        </w:rPr>
        <w:t xml:space="preserve">WHITFIELD CARTER LLP</w:t>
      </w:r>
    </w:p>
    <w:p>
      <w:pPr>
        <w:pBdr>
          <w:bottom w:val="single" w:color="2E4A6B" w:sz="6" w:space="4"/>
        </w:pBdr>
        <w:spacing w:after="160"/>
      </w:pPr>
      <w:r>
        <w:rPr>
          <w:sz w:val="16"/>
          <w:szCs w:val="16"/>
        </w:rPr>
        <w:t xml:space="preserve">22 Bishopsgate, London EC2N 4BQ  ·  www.whitfieldcarter.com</w:t>
      </w:r>
    </w:p>
    <w:p>
      <w:pPr>
        <w:spacing w:after="120"/>
      </w:pPr>
      <w:r>
        <w:rPr>
          <w:b/>
          <w:bCs/>
        </w:rPr>
        <w:t xml:space="preserve">Strictly Private &amp; Confidential</w:t>
      </w:r>
    </w:p>
    <w:p>
      <w:pPr>
        <w:spacing w:after="120"/>
      </w:pPr>
      <w:r>
        <w:t xml:space="preserve">Dr A. Renwick</w:t>
      </w:r>
    </w:p>
    <w:p>
      <w:pPr>
        <w:spacing w:after="120"/>
      </w:pPr>
      <w:r>
        <w:t xml:space="preserve">Argent Metallurgical Services</w:t>
      </w:r>
    </w:p>
    <w:p>
      <w:pPr>
        <w:spacing w:after="120"/>
      </w:pPr>
      <w:r>
        <w:t xml:space="preserve">Forge House, Sheffield S9 2YL</w:t>
      </w:r>
    </w:p>
    <w:p>
      <w:pPr>
        <w:spacing w:after="120"/>
      </w:pPr>
      <w:r>
        <w:rPr>
          <w:b/>
          <w:bCs/>
        </w:rPr>
        <w:t xml:space="preserve">Our ref: </w:t>
      </w:r>
      <w:r>
        <w:t xml:space="preserve">SW/TG/PEN-0164</w:t>
      </w:r>
      <w:r>
        <w:t xml:space="preserve">     Date: 21 November 2024</w:t>
      </w:r>
    </w:p>
    <w:p>
      <w:pPr>
        <w:spacing w:after="120"/>
      </w:pPr>
      <w:r>
        <w:t xml:space="preserve">Dear Dr Renwick</w:t>
      </w:r>
    </w:p>
    <w:p>
      <w:pPr>
        <w:spacing w:after="120"/>
      </w:pPr>
      <w:r>
        <w:rPr>
          <w:b/>
          <w:bCs/>
        </w:rPr>
        <w:t xml:space="preserve">Pennington Industries Limited v Tregarth Bearings Limited – letter of instruction to expert</w:t>
      </w:r>
    </w:p>
    <w:p>
      <w:pPr>
        <w:spacing w:after="120"/>
      </w:pPr>
      <w:r>
        <w:t xml:space="preserve">We act for Pennington Industries Limited (“Pennington”) in connection with a contractual claim concerning precision angular-contact spindle bearings (type TB-7208-HP) supplied by Tregarth Bearings Limited which have failed prematurely in Pennington’s PX-180 and PX-220 centrifugal pumps. We instruct you to prepare an independent expert report on the metallurgical cause of the failures.</w:t>
      </w:r>
    </w:p>
    <w:p>
      <w:pPr>
        <w:pStyle w:val="Heading2"/>
      </w:pPr>
      <w:r>
        <w:t xml:space="preserve">Your duty</w:t>
      </w:r>
    </w:p>
    <w:p>
      <w:pPr>
        <w:spacing w:after="120"/>
      </w:pPr>
      <w:r>
        <w:t xml:space="preserve">Your overriding duty is to the Court and not to Pennington, in accordance with CPR Part 35 and the accompanying Practice Direction and Guidance. Your report must comply with CPR 35.10 and contain the statements of truth and of understanding required by the Practice Direction.</w:t>
      </w:r>
    </w:p>
    <w:p>
      <w:pPr>
        <w:pStyle w:val="Heading2"/>
      </w:pPr>
      <w:r>
        <w:t xml:space="preserve">Materials provided</w:t>
      </w:r>
    </w:p>
    <w:p>
      <w:pPr>
        <w:spacing w:after="120"/>
      </w:pPr>
      <w:r>
        <w:t xml:space="preserve">We enclose: (1) Pennington’s engineering specification PEN-ES-4471 Rev C; (2) a sample of 24 failed bearings, bagged and labelled by batch; (3) Tregarth’s data sheet for the TB-7208-HP; and (4) Pennington’s failure log to date.</w:t>
      </w:r>
    </w:p>
    <w:p>
      <w:pPr>
        <w:pStyle w:val="Heading2"/>
      </w:pPr>
      <w:r>
        <w:t xml:space="preserve">Questions for your opinion</w:t>
      </w:r>
    </w:p>
    <w:p>
      <w:pPr>
        <w:pStyle w:val="ListParagraph"/>
        <w:numPr>
          <w:ilvl w:val="0"/>
          <w:numId w:val="2"/>
        </w:numPr>
        <w:spacing w:after="120"/>
      </w:pPr>
      <w:r>
        <w:t xml:space="preserve">What is the metallurgical mechanism of the observed bearing failures?</w:t>
      </w:r>
    </w:p>
    <w:p>
      <w:pPr>
        <w:pStyle w:val="ListParagraph"/>
        <w:numPr>
          <w:ilvl w:val="0"/>
          <w:numId w:val="2"/>
        </w:numPr>
        <w:spacing w:after="120"/>
      </w:pPr>
      <w:r>
        <w:t xml:space="preserve">What was the raceway surface hardness of the sampled bearings, and how does it compare with the contractual minimum of 60 HRC?</w:t>
      </w:r>
    </w:p>
    <w:p>
      <w:pPr>
        <w:pStyle w:val="ListParagraph"/>
        <w:numPr>
          <w:ilvl w:val="0"/>
          <w:numId w:val="2"/>
        </w:numPr>
        <w:spacing w:after="120"/>
      </w:pPr>
      <w:r>
        <w:t xml:space="preserve">Is any hardness deficiency consistent with an incorrect or incomplete heat-treatment process, and if so of what kind?</w:t>
      </w:r>
    </w:p>
    <w:p>
      <w:pPr>
        <w:pStyle w:val="ListParagraph"/>
        <w:numPr>
          <w:ilvl w:val="0"/>
          <w:numId w:val="2"/>
        </w:numPr>
        <w:spacing w:after="120"/>
      </w:pPr>
      <w:r>
        <w:t xml:space="preserve">What is the likely effect of any hardness deficiency on the rating life (L10) of the bearings as compared with the specified 30,000 hours?</w:t>
      </w:r>
    </w:p>
    <w:p>
      <w:pPr>
        <w:pStyle w:val="ListParagraph"/>
        <w:numPr>
          <w:ilvl w:val="0"/>
          <w:numId w:val="2"/>
        </w:numPr>
        <w:spacing w:after="120"/>
      </w:pPr>
      <w:r>
        <w:t xml:space="preserve">Are the failures consistent with, or can you exclude, the alternative causes of axial overload, excessive operating temperature or inadequate lubrication?</w:t>
      </w:r>
    </w:p>
    <w:p>
      <w:pPr>
        <w:spacing w:after="120"/>
      </w:pPr>
      <w:r>
        <w:t xml:space="preserve">Please raise any further documents or testing you require. We should be grateful to receive your report in draft by 13 December 2024.</w:t>
      </w:r>
    </w:p>
    <w:p>
      <w:pPr>
        <w:spacing w:after="120"/>
      </w:pPr>
      <w:r>
        <w:t xml:space="preserve">Yours sincerely</w:t>
      </w:r>
    </w:p>
    <w:p>
      <w:pPr>
        <w:spacing w:after="120"/>
      </w:pPr>
      <w:r>
        <w:rPr>
          <w:b/>
          <w:bCs/>
        </w:rPr>
        <w:t xml:space="preserve">Tom Gallagher</w:t>
      </w:r>
    </w:p>
    <w:p>
      <w:pPr>
        <w:spacing w:after="120"/>
      </w:pPr>
      <w:r>
        <w:t xml:space="preserve">Whitfield Carter LLP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sz w:val="16"/>
        <w:szCs w:val="16"/>
      </w:rPr>
      <w:t xml:space="preserve"/>
    </w:r>
    <w:r>
      <w:rPr>
        <w:sz w:val="16"/>
        <w:szCs w:val="16"/>
      </w:rPr>
      <w:t xml:space="preserv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decimal"/>
      <w:lvlText w:val="%1."/>
      <w:lvlJc w:val="left"/>
      <w:pPr>
        <w:ind w:left="567" w:hanging="567"/>
      </w:pPr>
    </w:lvl>
  </w:abstractNum>
  <w:abstractNum w:abstractNumId="6"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2026-06-28T10:20:15.085Z</dcterms:created>
  <dcterms:modified xsi:type="dcterms:W3CDTF">2026-06-28T10:20:15.085Z</dcterms:modified>
</cp:coreProperties>
</file>

<file path=docProps/custom.xml><?xml version="1.0" encoding="utf-8"?>
<Properties xmlns="http://schemas.openxmlformats.org/officeDocument/2006/custom-properties" xmlns:vt="http://schemas.openxmlformats.org/officeDocument/2006/docPropsVTypes"/>
</file>