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t xml:space="preserve">Claim No. BL-2025-000418</w:t>
      </w:r>
    </w:p>
    <w:p>
      <w:pPr>
        <w:spacing w:after="80"/>
        <w:jc w:val="center"/>
      </w:pPr>
      <w:r>
        <w:rPr>
          <w:b/>
          <w:bCs/>
        </w:rPr>
        <w:t xml:space="preserve">IN THE HIGH COURT OF JUSTICE</w:t>
      </w:r>
    </w:p>
    <w:p>
      <w:pPr>
        <w:spacing w:after="80"/>
        <w:jc w:val="center"/>
      </w:pPr>
      <w:r>
        <w:t xml:space="preserve">BUSINESS AND PROPERTY COURTS OF ENGLAND AND WALES</w:t>
      </w:r>
    </w:p>
    <w:p>
      <w:pPr>
        <w:spacing w:after="80"/>
        <w:jc w:val="center"/>
      </w:pPr>
      <w:r>
        <w:t xml:space="preserve">CIRCUIT COMMERCIAL COURT (KBD)</w:t>
      </w:r>
    </w:p>
    <w:p>
      <w:pPr>
        <w:pBdr>
          <w:bottom w:val="single" w:color="000000" w:sz="4" w:space="2"/>
        </w:pBdr>
        <w:spacing w:after="120"/>
      </w:pPr>
      <w:r>
        <w:t xml:space="preserve"/>
      </w:r>
    </w:p>
    <w:p>
      <w:pPr>
        <w:spacing w:after="80"/>
        <w:jc w:val="right"/>
      </w:pPr>
      <w:r>
        <w:t xml:space="preserve">B E T W E E N :</w:t>
      </w:r>
    </w:p>
    <w:p>
      <w:pPr>
        <w:spacing w:after="80"/>
        <w:jc w:val="center"/>
      </w:pPr>
      <w:r>
        <w:rPr>
          <w:b/>
          <w:bCs/>
        </w:rPr>
        <w:t xml:space="preserve">PENNINGTON INDUSTRIES LIMITED</w:t>
      </w:r>
    </w:p>
    <w:p>
      <w:pPr>
        <w:spacing w:after="40"/>
        <w:jc w:val="right"/>
      </w:pPr>
      <w:r>
        <w:rPr>
          <w:i/>
          <w:iCs/>
        </w:rPr>
        <w:t xml:space="preserve">Claimant</w:t>
      </w:r>
    </w:p>
    <w:p>
      <w:pPr>
        <w:spacing w:after="80"/>
        <w:jc w:val="center"/>
      </w:pPr>
      <w:r>
        <w:t xml:space="preserve">- and -</w:t>
      </w:r>
    </w:p>
    <w:p>
      <w:pPr>
        <w:spacing w:after="80"/>
        <w:jc w:val="center"/>
      </w:pPr>
      <w:r>
        <w:rPr>
          <w:b/>
          <w:bCs/>
        </w:rPr>
        <w:t xml:space="preserve">TREGARTH BEARINGS LIMITED</w:t>
      </w:r>
    </w:p>
    <w:p>
      <w:pPr>
        <w:spacing w:after="40"/>
        <w:jc w:val="right"/>
      </w:pPr>
      <w:r>
        <w:rPr>
          <w:i/>
          <w:iCs/>
        </w:rPr>
        <w:t xml:space="preserve">Defendant</w:t>
      </w:r>
    </w:p>
    <w:p>
      <w:pPr>
        <w:pBdr>
          <w:bottom w:val="single" w:color="000000" w:sz="4" w:space="2"/>
        </w:pBdr>
        <w:spacing w:after="120"/>
      </w:pPr>
      <w:r>
        <w:t xml:space="preserve"/>
      </w:r>
    </w:p>
    <w:p>
      <w:pPr>
        <w:spacing w:after="80"/>
        <w:jc w:val="center"/>
      </w:pPr>
      <w:r>
        <w:rPr>
          <w:b/>
          <w:bCs/>
          <w:sz w:val="24"/>
          <w:szCs w:val="24"/>
        </w:rPr>
        <w:t xml:space="preserve">REPLY</w:t>
      </w:r>
    </w:p>
    <w:p>
      <w:pPr>
        <w:spacing w:after="120"/>
      </w:pPr>
      <w:r>
        <w:t xml:space="preserve"/>
      </w:r>
    </w:p>
    <w:p>
      <w:pPr>
        <w:pStyle w:val="ListParagraph"/>
        <w:numPr>
          <w:ilvl w:val="0"/>
          <w:numId w:val="2"/>
        </w:numPr>
        <w:spacing w:after="120"/>
      </w:pPr>
      <w:r>
        <w:t xml:space="preserve">The Claimant joins issue with the Defendant on its Defence save in so far as the same consists of admissions.</w:t>
      </w:r>
    </w:p>
    <w:p>
      <w:pPr>
        <w:pStyle w:val="ListParagraph"/>
        <w:numPr>
          <w:ilvl w:val="0"/>
          <w:numId w:val="2"/>
        </w:numPr>
        <w:spacing w:after="120"/>
      </w:pPr>
      <w:r>
        <w:t xml:space="preserve">As to paragraph 4 of the Defence, it is denied that specification PEN-ES-4471 Rev C was not incorporated into the Contract. The Specification was expressly referred to in purchase order PEN-PO-2024-0411 and a copy was provided to the Defendant with the request for quotation on 19 February 2024. By an email dated 26 February 2024, the Defendant’s sales engineer, Mr Brian Tovey, confirmed that the TB-7208-HP “meets your ES-4471 hardness and life requirements”. The Defendant is thereby estopped from denying incorporation of the Specification, alternatively the Specification was incorporated by the parties’ course of dealing.</w:t>
      </w:r>
    </w:p>
    <w:p>
      <w:pPr>
        <w:pStyle w:val="ListParagraph"/>
        <w:numPr>
          <w:ilvl w:val="0"/>
          <w:numId w:val="2"/>
        </w:numPr>
        <w:spacing w:after="120"/>
      </w:pPr>
      <w:r>
        <w:t xml:space="preserve">As to paragraph 8(c) of the Defence (misapplication), it is denied that the Bearings were subjected to axial pre-load or operating temperatures in excess of their rating or to inadequate lubrication. The pumps were assembled and tested in accordance with Pennington’s controlled assembly procedure AP-180/220, and the failures occurred across multiple pumps, assembly operators and customer sites, which is inconsistent with the localised misapplication alleged.</w:t>
      </w:r>
    </w:p>
    <w:p>
      <w:pPr>
        <w:pStyle w:val="ListParagraph"/>
        <w:numPr>
          <w:ilvl w:val="0"/>
          <w:numId w:val="2"/>
        </w:numPr>
        <w:spacing w:after="120"/>
      </w:pPr>
      <w:r>
        <w:t xml:space="preserve">As to paragraph 9 of the Defence (acceptance), it is denied that the Claimant accepted the Bearings or lost any right to reject. The latent nature of the hardness deficiency meant that it was not, and could not reasonably have been, discovered on delivery; the defect only manifested on failure in service from September 2024, and the Claimant acted promptly thereafter.</w:t>
      </w:r>
    </w:p>
    <w:p>
      <w:pPr>
        <w:pStyle w:val="ListParagraph"/>
        <w:numPr>
          <w:ilvl w:val="0"/>
          <w:numId w:val="2"/>
        </w:numPr>
        <w:spacing w:after="120"/>
      </w:pPr>
      <w:r>
        <w:t xml:space="preserve">Save as aforesaid, the Claimant repeats its Particulars of Claim.</w:t>
      </w:r>
    </w:p>
    <w:p>
      <w:pPr>
        <w:spacing w:after="120"/>
      </w:pPr>
      <w:r>
        <w:t xml:space="preserve"/>
      </w:r>
    </w:p>
    <w:p>
      <w:pPr>
        <w:spacing w:after="120"/>
      </w:pPr>
      <w:r>
        <w:rPr>
          <w:b/>
          <w:bCs/>
        </w:rPr>
        <w:t xml:space="preserve">STATEMENT OF TRUTH</w:t>
      </w:r>
    </w:p>
    <w:p>
      <w:pPr>
        <w:spacing w:after="120"/>
      </w:pPr>
      <w:r>
        <w:t xml:space="preserve">The Claimant believes that the facts stated in this Reply are true.</w:t>
      </w:r>
    </w:p>
    <w:p>
      <w:pPr>
        <w:spacing w:after="120"/>
      </w:pPr>
      <w:r>
        <w:t xml:space="preserve">Signed: ............................................   Tom Gallagher, Whitfield Carter LLP, solicitors for the Claimant</w:t>
      </w:r>
    </w:p>
    <w:p>
      <w:pPr>
        <w:spacing w:after="120"/>
      </w:pPr>
      <w:r>
        <w:t xml:space="preserve">Dated: 6 May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sz w:val="16"/>
        <w:szCs w:val="16"/>
      </w:rPr>
      <w:t xml:space="preserve"/>
    </w:r>
    <w:r>
      <w:rPr>
        <w:sz w:val="16"/>
        <w:szCs w:val="16"/>
      </w:rPr>
      <w:t xml:space="preserv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decimal"/>
      <w:lvlText w:val="%1."/>
      <w:lvlJc w:val="left"/>
      <w:pPr>
        <w:ind w:left="567" w:hanging="567"/>
      </w:pPr>
    </w:lvl>
  </w:abstractNum>
  <w:abstractNum w:abstractNumId="6" w15:restartNumberingAfterBreak="0">
    <w:multiLevelType w:val="hybridMultilevel"/>
    <w:lvl w:ilvl="0" w15:tentative="1">
      <w:start w:val="1"/>
      <w:numFmt w:val="lowerLetter"/>
      <w:lvlText w:val="(%1)"/>
      <w:lvlJc w:val="left"/>
      <w:pPr>
        <w:ind w:left="1134" w:hanging="567"/>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2026-06-28T10:20:15.067Z</dcterms:created>
  <dcterms:modified xsi:type="dcterms:W3CDTF">2026-06-28T10:20:15.067Z</dcterms:modified>
</cp:coreProperties>
</file>

<file path=docProps/custom.xml><?xml version="1.0" encoding="utf-8"?>
<Properties xmlns="http://schemas.openxmlformats.org/officeDocument/2006/custom-properties" xmlns:vt="http://schemas.openxmlformats.org/officeDocument/2006/docPropsVTypes"/>
</file>