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t xml:space="preserve">Claim No. BL-2025-000418</w:t>
      </w:r>
    </w:p>
    <w:p>
      <w:pPr>
        <w:spacing w:after="40"/>
        <w:jc w:val="right"/>
      </w:pPr>
      <w:r>
        <w:t xml:space="preserve">Claimant: Pennington Industries Limited</w:t>
      </w:r>
    </w:p>
    <w:p>
      <w:pPr>
        <w:spacing w:after="40"/>
        <w:jc w:val="right"/>
      </w:pPr>
      <w:r>
        <w:t xml:space="preserve">Witness: H. Doyle</w:t>
      </w:r>
    </w:p>
    <w:p>
      <w:pPr>
        <w:spacing w:after="40"/>
        <w:jc w:val="right"/>
      </w:pPr>
      <w:r>
        <w:t xml:space="preserve">Statement: First</w:t>
      </w:r>
    </w:p>
    <w:p>
      <w:pPr>
        <w:spacing w:after="40"/>
        <w:jc w:val="right"/>
      </w:pPr>
      <w:r>
        <w:t xml:space="preserve">Exhibits: HD1 – HD3</w:t>
      </w:r>
    </w:p>
    <w:p>
      <w:pPr>
        <w:spacing w:after="40"/>
        <w:jc w:val="right"/>
      </w:pPr>
      <w:r>
        <w:t xml:space="preserve">Dated: 18 June 2025</w:t>
      </w:r>
    </w:p>
    <w:p>
      <w:pPr>
        <w:spacing w:after="120"/>
      </w:pPr>
      <w:r>
        <w:t xml:space="preserve"/>
      </w:r>
    </w:p>
    <w:p>
      <w:pPr>
        <w:spacing w:after="40"/>
        <w:jc w:val="right"/>
      </w:pPr>
      <w:r>
        <w:t xml:space="preserve">Claim No. BL-2025-000418</w:t>
      </w:r>
    </w:p>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CIRCUIT COMMERCIAL COURT (KBD)</w:t>
      </w:r>
    </w:p>
    <w:p>
      <w:pPr>
        <w:pBdr>
          <w:bottom w:val="single" w:color="000000" w:sz="4" w:space="2"/>
        </w:pBdr>
        <w:spacing w:after="120"/>
      </w:pPr>
      <w:r>
        <w:t xml:space="preserve"/>
      </w:r>
    </w:p>
    <w:p>
      <w:pPr>
        <w:spacing w:after="80"/>
        <w:jc w:val="right"/>
      </w:pPr>
      <w:r>
        <w:t xml:space="preserve">B E T W E E N :</w:t>
      </w:r>
    </w:p>
    <w:p>
      <w:pPr>
        <w:spacing w:after="80"/>
        <w:jc w:val="center"/>
      </w:pPr>
      <w:r>
        <w:rPr>
          <w:b/>
          <w:bCs/>
        </w:rPr>
        <w:t xml:space="preserve">PENNINGTON INDUSTRIES LIMITED</w:t>
      </w:r>
    </w:p>
    <w:p>
      <w:pPr>
        <w:spacing w:after="40"/>
        <w:jc w:val="right"/>
      </w:pPr>
      <w:r>
        <w:rPr>
          <w:i/>
          <w:iCs/>
        </w:rPr>
        <w:t xml:space="preserve">Claimant</w:t>
      </w:r>
    </w:p>
    <w:p>
      <w:pPr>
        <w:spacing w:after="80"/>
        <w:jc w:val="center"/>
      </w:pPr>
      <w:r>
        <w:t xml:space="preserve">- and -</w:t>
      </w:r>
    </w:p>
    <w:p>
      <w:pPr>
        <w:spacing w:after="80"/>
        <w:jc w:val="center"/>
      </w:pPr>
      <w:r>
        <w:rPr>
          <w:b/>
          <w:bCs/>
        </w:rPr>
        <w:t xml:space="preserve">TREGARTH BEARINGS LIMITED</w:t>
      </w:r>
    </w:p>
    <w:p>
      <w:pPr>
        <w:spacing w:after="40"/>
        <w:jc w:val="right"/>
      </w:pPr>
      <w:r>
        <w:rPr>
          <w:i/>
          <w:iCs/>
        </w:rPr>
        <w:t xml:space="preserve">Defendant</w:t>
      </w:r>
    </w:p>
    <w:p>
      <w:pPr>
        <w:pBdr>
          <w:bottom w:val="single" w:color="000000" w:sz="4" w:space="2"/>
        </w:pBdr>
        <w:spacing w:after="120"/>
      </w:pPr>
      <w:r>
        <w:t xml:space="preserve"/>
      </w:r>
    </w:p>
    <w:p>
      <w:pPr>
        <w:spacing w:after="80"/>
        <w:jc w:val="center"/>
      </w:pPr>
      <w:r>
        <w:rPr>
          <w:b/>
          <w:bCs/>
          <w:sz w:val="24"/>
          <w:szCs w:val="24"/>
        </w:rPr>
        <w:t xml:space="preserve">WITNESS STATEMENT OF HENRY DOYLE</w:t>
      </w:r>
    </w:p>
    <w:p>
      <w:pPr>
        <w:spacing w:after="120"/>
      </w:pPr>
      <w:r>
        <w:t xml:space="preserve"/>
      </w:r>
    </w:p>
    <w:p>
      <w:pPr>
        <w:pStyle w:val="ListParagraph"/>
        <w:numPr>
          <w:ilvl w:val="0"/>
          <w:numId w:val="2"/>
        </w:numPr>
        <w:spacing w:after="120"/>
      </w:pPr>
      <w:r>
        <w:t xml:space="preserve">I, Henry Doyle, of Brunel Works, Tyseley Industrial Estate, Birmingham B11 2BH, Operations Director of the Claimant, WILL SAY as follows.</w:t>
      </w:r>
    </w:p>
    <w:p>
      <w:pPr>
        <w:pStyle w:val="ListParagraph"/>
        <w:numPr>
          <w:ilvl w:val="0"/>
          <w:numId w:val="2"/>
        </w:numPr>
        <w:spacing w:after="120"/>
      </w:pPr>
      <w:r>
        <w:t xml:space="preserve">I am authorised to make this statement on behalf of the Claimant. The facts in this statement are within my own knowledge except where I indicate otherwise, in which case I give the source of my information and believe it to be true. There is now produced and shown to me a paginated bundle of documents marked “HD1” to which I refer.</w:t>
      </w:r>
    </w:p>
    <w:p>
      <w:pPr>
        <w:pStyle w:val="ListParagraph"/>
        <w:numPr>
          <w:ilvl w:val="0"/>
          <w:numId w:val="2"/>
        </w:numPr>
        <w:spacing w:after="120"/>
      </w:pPr>
      <w:r>
        <w:t xml:space="preserve">I have been Operations Director of Pennington since 2019. I am responsible for the manufacture of our centrifugal pump ranges, including the PX-180 and PX-220, and for the quality of components incorporated into them.</w:t>
      </w:r>
    </w:p>
    <w:p>
      <w:pPr>
        <w:pStyle w:val="ListParagraph"/>
        <w:numPr>
          <w:ilvl w:val="0"/>
          <w:numId w:val="2"/>
        </w:numPr>
        <w:spacing w:after="120"/>
      </w:pPr>
      <w:r>
        <w:t xml:space="preserve">In early 2024 Pennington decided to dual-source the precision spindle bearings used in the PX-180 and PX-220 pumps. We issued a request for quotation on 19 February 2024 which enclosed our engineering specification PEN-ES-4471 Rev C. That specification required a raceway surface hardness of not less than 60 HRC and an L10 rating life of not less than 30,000 hours, which are the figures we have always required for these pumps.</w:t>
      </w:r>
    </w:p>
    <w:p>
      <w:pPr>
        <w:pStyle w:val="ListParagraph"/>
        <w:numPr>
          <w:ilvl w:val="0"/>
          <w:numId w:val="2"/>
        </w:numPr>
        <w:spacing w:after="120"/>
      </w:pPr>
      <w:r>
        <w:t xml:space="preserve">Tregarth quoted for the work on 4 March 2024. Before we placed the order, Tregarth’s sales engineer Mr Tovey confirmed in writing on 26 February 2024 that the TB-7208-HP bearing met our ES-4471 hardness and life requirements. On the strength of that confirmation we placed purchase order PEN-PO-2024-0411 on 11 March 2024.</w:t>
      </w:r>
    </w:p>
    <w:p>
      <w:pPr>
        <w:pStyle w:val="ListParagraph"/>
        <w:numPr>
          <w:ilvl w:val="0"/>
          <w:numId w:val="2"/>
        </w:numPr>
        <w:spacing w:after="120"/>
      </w:pPr>
      <w:r>
        <w:t xml:space="preserve">Tregarth delivered 1,240 bearings between May and August 2024. We incorporated them into PX-180 and PX-220 pumps in the ordinary way, using our controlled assembly procedure AP-180/220, the same procedure we use for bearings from our other supplier, which have never failed in this way.</w:t>
      </w:r>
    </w:p>
    <w:p>
      <w:pPr>
        <w:pStyle w:val="ListParagraph"/>
        <w:numPr>
          <w:ilvl w:val="0"/>
          <w:numId w:val="2"/>
        </w:numPr>
        <w:spacing w:after="120"/>
      </w:pPr>
      <w:r>
        <w:t xml:space="preserve">From September 2024 we began to receive failure reports. The first failures were on our own production test rigs; shortly afterwards we received warranty claims from customers whose pumps had failed in service. By the end of October 2024 we had recorded 38 failures across both ranges. Every failed pump that we stripped down was found to have a spalled spindle bearing of the Tregarth type.</w:t>
      </w:r>
    </w:p>
    <w:p>
      <w:pPr>
        <w:pStyle w:val="ListParagraph"/>
        <w:numPr>
          <w:ilvl w:val="0"/>
          <w:numId w:val="2"/>
        </w:numPr>
        <w:spacing w:after="120"/>
      </w:pPr>
      <w:r>
        <w:t xml:space="preserve">We immediately instructed Argent Metallurgical Services to investigate. Their report, which I exhibit at HD2, established that the failed bearings had a raceway hardness of only 52 to 55 HRC, well below the 60 HRC we had specified, and that this had caused them to fail far short of their rated life.</w:t>
      </w:r>
    </w:p>
    <w:p>
      <w:pPr>
        <w:pStyle w:val="ListParagraph"/>
        <w:numPr>
          <w:ilvl w:val="0"/>
          <w:numId w:val="2"/>
        </w:numPr>
        <w:spacing w:after="120"/>
      </w:pPr>
      <w:r>
        <w:t xml:space="preserve">Faced with bearings that were liable to fail in service, we had no realistic choice but to recall and rework affected pumps and to replace the Tregarth bearings with conforming bearings, which we sourced at short notice from Northvale Metals Limited. The cost and disruption of doing so are set out in our Schedule of Loss, which I have reviewed and confirm to be accurate so far as the operational figures are concerned.</w:t>
      </w:r>
    </w:p>
    <w:p>
      <w:pPr>
        <w:pStyle w:val="ListParagraph"/>
        <w:numPr>
          <w:ilvl w:val="0"/>
          <w:numId w:val="2"/>
        </w:numPr>
        <w:spacing w:after="120"/>
      </w:pPr>
      <w:r>
        <w:t xml:space="preserve">I do not accept Tregarth’s suggestion that our assembly or operating conditions caused the failures. The failures occurred across many different pumps, built by different operators and operated by different customers, which in my experience points to a problem with the bearings themselves and not with how they were fitted or run.</w:t>
      </w:r>
    </w:p>
    <w:p>
      <w:pPr>
        <w:spacing w:after="120"/>
      </w:pPr>
      <w:r>
        <w:t xml:space="preserve"/>
      </w:r>
    </w:p>
    <w:p>
      <w:pPr>
        <w:spacing w:after="120"/>
      </w:pPr>
      <w:r>
        <w:rPr>
          <w:b/>
          <w:bCs/>
        </w:rPr>
        <w:t xml:space="preserve">Statement of Truth</w:t>
      </w:r>
    </w:p>
    <w:p>
      <w:pPr>
        <w:spacing w:after="12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Signed: ............................................</w:t>
      </w:r>
    </w:p>
    <w:p>
      <w:pPr>
        <w:spacing w:after="120"/>
      </w:pPr>
      <w:r>
        <w:t xml:space="preserve">Henry Doyle</w:t>
      </w:r>
    </w:p>
    <w:p>
      <w:pPr>
        <w:spacing w:after="120"/>
      </w:pPr>
      <w:r>
        <w:t xml:space="preserve">Dated: 18 June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2026-06-28T10:20:15.072Z</dcterms:created>
  <dcterms:modified xsi:type="dcterms:W3CDTF">2026-06-28T10:20:15.072Z</dcterms:modified>
</cp:coreProperties>
</file>

<file path=docProps/custom.xml><?xml version="1.0" encoding="utf-8"?>
<Properties xmlns="http://schemas.openxmlformats.org/officeDocument/2006/custom-properties" xmlns:vt="http://schemas.openxmlformats.org/officeDocument/2006/docPropsVTypes"/>
</file>