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WHITFIELD CARTER LLP</w:t>
      </w:r>
    </w:p>
    <w:p>
      <w:pPr>
        <w:spacing w:after="240"/>
        <w:jc w:val="center"/>
      </w:pPr>
      <w:r>
        <w:rPr>
          <w:b/>
          <w:bCs/>
          <w:color w:val="C00000"/>
          <w:sz w:val="20"/>
          <w:szCs w:val="20"/>
        </w:rPr>
        <w:t xml:space="preserve">PRIVILEGED &amp; CONFIDENTIAL — LEGAL ADVICE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800"/>
        <w:gridCol w:w="7560"/>
      </w:tblGrid>
      <w:tr>
        <w:trPr>
          <w:tblHeader w:val="false"/>
        </w:trPr>
        <w:tc>
          <w:tcPr>
            <w:tcW w:type="dxa" w:w="1800"/>
            <w:shd w:fill="F2F2F2" w:val="clear"/>
            <w:tcMar>
              <w:top w:type="dxa" w:w="60"/>
              <w:left w:type="dxa" w:w="120"/>
              <w:bottom w:type="dxa" w:w="60"/>
              <w:right w:type="dxa" w:w="120"/>
            </w:tcMar>
          </w:tcPr>
          <w:p>
            <w:pPr>
              <w:spacing w:after="0"/>
            </w:pPr>
            <w:r>
              <w:rPr>
                <w:b w:val="false"/>
                <w:bCs w:val="false"/>
                <w:color w:val="000000"/>
                <w:sz w:val="18"/>
                <w:szCs w:val="18"/>
              </w:rPr>
              <w:t xml:space="preserve">To</w:t>
            </w:r>
          </w:p>
        </w:tc>
        <w:tc>
          <w:tcPr>
            <w:tcW w:type="dxa" w:w="7560"/>
            <w:shd w:fill="F2F2F2" w:val="clear"/>
            <w:tcMar>
              <w:top w:type="dxa" w:w="60"/>
              <w:left w:type="dxa" w:w="120"/>
              <w:bottom w:type="dxa" w:w="60"/>
              <w:right w:type="dxa" w:w="120"/>
            </w:tcMar>
          </w:tcPr>
          <w:p>
            <w:pPr>
              <w:spacing w:after="0"/>
            </w:pPr>
            <w:r>
              <w:rPr>
                <w:b w:val="false"/>
                <w:bCs w:val="false"/>
                <w:color w:val="000000"/>
                <w:sz w:val="18"/>
                <w:szCs w:val="18"/>
              </w:rPr>
              <w:t xml:space="preserve">Grace Underwood (Group Finance Director); Pennington Industries Board</w:t>
            </w:r>
          </w:p>
        </w:tc>
      </w:tr>
      <w:tr>
        <w:trPr>
          <w:tblHeader w:val="false"/>
        </w:trPr>
        <w:tc>
          <w:tcPr>
            <w:tcW w:type="dxa" w:w="1800"/>
            <w:tcMar>
              <w:top w:type="dxa" w:w="60"/>
              <w:left w:type="dxa" w:w="120"/>
              <w:bottom w:type="dxa" w:w="60"/>
              <w:right w:type="dxa" w:w="120"/>
            </w:tcMar>
          </w:tcPr>
          <w:p>
            <w:pPr>
              <w:spacing w:after="0"/>
            </w:pPr>
            <w:r>
              <w:rPr>
                <w:b w:val="false"/>
                <w:bCs w:val="false"/>
                <w:color w:val="000000"/>
                <w:sz w:val="18"/>
                <w:szCs w:val="18"/>
              </w:rPr>
              <w:t xml:space="preserve">From</w:t>
            </w:r>
          </w:p>
        </w:tc>
        <w:tc>
          <w:tcPr>
            <w:tcW w:type="dxa" w:w="7560"/>
            <w:tcMar>
              <w:top w:type="dxa" w:w="60"/>
              <w:left w:type="dxa" w:w="120"/>
              <w:bottom w:type="dxa" w:w="60"/>
              <w:right w:type="dxa" w:w="120"/>
            </w:tcMar>
          </w:tcPr>
          <w:p>
            <w:pPr>
              <w:spacing w:after="0"/>
            </w:pPr>
            <w:r>
              <w:rPr>
                <w:b w:val="false"/>
                <w:bCs w:val="false"/>
                <w:color w:val="000000"/>
                <w:sz w:val="18"/>
                <w:szCs w:val="18"/>
              </w:rPr>
              <w:t xml:space="preserve">Sarah Whitfield / James Osei</w:t>
            </w:r>
          </w:p>
        </w:tc>
      </w:tr>
      <w:tr>
        <w:trPr>
          <w:tblHeader w:val="false"/>
        </w:trPr>
        <w:tc>
          <w:tcPr>
            <w:tcW w:type="dxa" w:w="1800"/>
            <w:shd w:fill="F2F2F2" w:val="clear"/>
            <w:tcMar>
              <w:top w:type="dxa" w:w="60"/>
              <w:left w:type="dxa" w:w="120"/>
              <w:bottom w:type="dxa" w:w="60"/>
              <w:right w:type="dxa" w:w="120"/>
            </w:tcMar>
          </w:tcPr>
          <w:p>
            <w:pPr>
              <w:spacing w:after="0"/>
            </w:pPr>
            <w:r>
              <w:rPr>
                <w:b w:val="false"/>
                <w:bCs w:val="false"/>
                <w:color w:val="000000"/>
                <w:sz w:val="18"/>
                <w:szCs w:val="18"/>
              </w:rPr>
              <w:t xml:space="preserve">Date</w:t>
            </w:r>
          </w:p>
        </w:tc>
        <w:tc>
          <w:tcPr>
            <w:tcW w:type="dxa" w:w="7560"/>
            <w:shd w:fill="F2F2F2" w:val="clear"/>
            <w:tcMar>
              <w:top w:type="dxa" w:w="60"/>
              <w:left w:type="dxa" w:w="120"/>
              <w:bottom w:type="dxa" w:w="60"/>
              <w:right w:type="dxa" w:w="120"/>
            </w:tcMar>
          </w:tcPr>
          <w:p>
            <w:pPr>
              <w:spacing w:after="0"/>
            </w:pPr>
            <w:r>
              <w:rPr>
                <w:b w:val="false"/>
                <w:bCs w:val="false"/>
                <w:color w:val="000000"/>
                <w:sz w:val="18"/>
                <w:szCs w:val="18"/>
              </w:rPr>
              <w:t xml:space="preserve">18 November 2025</w:t>
            </w:r>
          </w:p>
        </w:tc>
      </w:tr>
      <w:tr>
        <w:trPr>
          <w:tblHeader w:val="false"/>
        </w:trPr>
        <w:tc>
          <w:tcPr>
            <w:tcW w:type="dxa" w:w="1800"/>
            <w:tcMar>
              <w:top w:type="dxa" w:w="60"/>
              <w:left w:type="dxa" w:w="120"/>
              <w:bottom w:type="dxa" w:w="60"/>
              <w:right w:type="dxa" w:w="120"/>
            </w:tcMar>
          </w:tcPr>
          <w:p>
            <w:pPr>
              <w:spacing w:after="0"/>
            </w:pPr>
            <w:r>
              <w:rPr>
                <w:b w:val="false"/>
                <w:bCs w:val="false"/>
                <w:color w:val="000000"/>
                <w:sz w:val="18"/>
                <w:szCs w:val="18"/>
              </w:rPr>
              <w:t xml:space="preserve">Matter</w:t>
            </w:r>
          </w:p>
        </w:tc>
        <w:tc>
          <w:tcPr>
            <w:tcW w:type="dxa" w:w="7560"/>
            <w:tcMar>
              <w:top w:type="dxa" w:w="60"/>
              <w:left w:type="dxa" w:w="120"/>
              <w:bottom w:type="dxa" w:w="60"/>
              <w:right w:type="dxa" w:w="120"/>
            </w:tcMar>
          </w:tcPr>
          <w:p>
            <w:pPr>
              <w:spacing w:after="0"/>
            </w:pPr>
            <w:r>
              <w:rPr>
                <w:b w:val="false"/>
                <w:bCs w:val="false"/>
                <w:color w:val="000000"/>
                <w:sz w:val="18"/>
                <w:szCs w:val="18"/>
              </w:rPr>
              <w:t xml:space="preserve">WC-00117 — Project Forge (CMA review: Pennington / Halworth)</w:t>
            </w:r>
          </w:p>
        </w:tc>
      </w:tr>
      <w:tr>
        <w:trPr>
          <w:tblHeader w:val="false"/>
        </w:trPr>
        <w:tc>
          <w:tcPr>
            <w:tcW w:type="dxa" w:w="1800"/>
            <w:shd w:fill="F2F2F2" w:val="clear"/>
            <w:tcMar>
              <w:top w:type="dxa" w:w="60"/>
              <w:left w:type="dxa" w:w="120"/>
              <w:bottom w:type="dxa" w:w="60"/>
              <w:right w:type="dxa" w:w="120"/>
            </w:tcMar>
          </w:tcPr>
          <w:p>
            <w:pPr>
              <w:spacing w:after="0"/>
            </w:pPr>
            <w:r>
              <w:rPr>
                <w:b w:val="false"/>
                <w:bCs w:val="false"/>
                <w:color w:val="000000"/>
                <w:sz w:val="18"/>
                <w:szCs w:val="18"/>
              </w:rPr>
              <w:t xml:space="preserve">Re</w:t>
            </w:r>
          </w:p>
        </w:tc>
        <w:tc>
          <w:tcPr>
            <w:tcW w:type="dxa" w:w="7560"/>
            <w:shd w:fill="F2F2F2" w:val="clear"/>
            <w:tcMar>
              <w:top w:type="dxa" w:w="60"/>
              <w:left w:type="dxa" w:w="120"/>
              <w:bottom w:type="dxa" w:w="60"/>
              <w:right w:type="dxa" w:w="120"/>
            </w:tcMar>
          </w:tcPr>
          <w:p>
            <w:pPr>
              <w:spacing w:after="0"/>
            </w:pPr>
            <w:r>
              <w:rPr>
                <w:b w:val="false"/>
                <w:bCs w:val="false"/>
                <w:color w:val="000000"/>
                <w:sz w:val="18"/>
                <w:szCs w:val="18"/>
              </w:rPr>
              <w:t xml:space="preserve">Jurisdiction, substantive risk assessment and strategy</w:t>
            </w:r>
          </w:p>
        </w:tc>
      </w:tr>
    </w:tbl>
    <w:p>
      <w:pPr>
        <w:spacing w:after="120" w:line="276"/>
      </w:pPr>
      <w:r>
        <w:t xml:space="preserve"/>
      </w:r>
    </w:p>
    <w:p>
      <w:pPr>
        <w:pStyle w:val="Heading1"/>
      </w:pPr>
      <w:r>
        <w:t xml:space="preserve">1. Executive summary</w:t>
      </w:r>
    </w:p>
    <w:p>
      <w:pPr>
        <w:spacing w:after="120" w:line="276"/>
      </w:pPr>
      <w:r>
        <w:t xml:space="preserve">1.1   This note sets out our assessment of (a) whether the CMA has jurisdiction to review Pennington’s acquisition of Halworth, (b) the substantive competition risk, and (c) the strategy we recommend for the CMA process. It is privileged and should not be circulated outside the Board and the deal team.</w:t>
      </w:r>
    </w:p>
    <w:p>
      <w:pPr>
        <w:spacing w:after="120" w:line="276"/>
      </w:pPr>
      <w:r>
        <w:t xml:space="preserve">1.2   In summary: the CMA almost certainly has jurisdiction under the share-of-supply test. The Transaction does not meet the £70m turnover test (Halworth’s UK turnover is c. £24.6m), but the parties’ combined share of supply of industrial centrifugal pumps for the UK municipal water sector exceeds 25%, with a material increment. We therefore expect the CMA to assert jurisdiction and open a Phase 1 investigation.</w:t>
      </w:r>
    </w:p>
    <w:p>
      <w:pPr>
        <w:spacing w:after="120" w:line="276"/>
      </w:pPr>
      <w:r>
        <w:t xml:space="preserve">1.3   On the substance, we see a realistic prospect of a Phase 1 SLC finding in the narrow frame of municipal-water centrifugal pumps, where the parties are two of a small number of credible UK suppliers. The risk is materially lower in the broader industrial and process-pump segments, where the combined entity faces strong competition from Grundfos, Xylem (Flygt), KSB, Sulzer and others. Our central recommendation is to engage proactively, narrow the area of concern, and be ready to offer targeted undertakings in lieu (the divestment of Halworth’s municipal-water pump line) to avoid a Phase 2 reference.</w:t>
      </w:r>
    </w:p>
    <w:p>
      <w:pPr>
        <w:pStyle w:val="Heading1"/>
      </w:pPr>
      <w:r>
        <w:t xml:space="preserve">2. The Transaction</w:t>
      </w:r>
    </w:p>
    <w:p>
      <w:pPr>
        <w:spacing w:after="120" w:line="276"/>
      </w:pPr>
      <w:r>
        <w:t xml:space="preserve">2.1   On 30 September 2025 Pennington acquired the entire issued share capital of Halworth Pump Systems Limited from the Halworth family shareholders for a cash consideration of £19.5 million (enterprise value £21.0 million, adjusted for c. £1.5m net debt). The acquisition was structured as a share purchase and completed on an un-notified basis, the UK regime being voluntary and non-suspensory.</w:t>
      </w:r>
    </w:p>
    <w:p>
      <w:pPr>
        <w:spacing w:after="120" w:line="276"/>
      </w:pPr>
      <w:r>
        <w:t xml:space="preserve">2.2   Pennington manufactures industrial pumps, valves and fluid-handling equipment at its Birmingham and Sheffield sites, with UK turnover of c. £118m (FY24). Halworth is a specialist manufacturer of centrifugal and submersible pumps, with a strong position in the municipal water and wastewater sector and UK turnover of c. £24.6m (FY24).</w:t>
      </w:r>
    </w:p>
    <w:p>
      <w:pPr>
        <w:pStyle w:val="Heading1"/>
      </w:pPr>
      <w:r>
        <w:t xml:space="preserve">3. Jurisdiction</w:t>
      </w:r>
    </w:p>
    <w:p>
      <w:pPr>
        <w:pStyle w:val="Heading2"/>
      </w:pPr>
      <w:r>
        <w:t xml:space="preserve">3.1 The statutory tests</w:t>
      </w:r>
    </w:p>
    <w:p>
      <w:pPr>
        <w:spacing w:after="120" w:line="276"/>
      </w:pPr>
      <w:r>
        <w:t xml:space="preserve">Under section 23 of the Enterprise Act 2002 the CMA may review a “relevant merger situation” where two or more enterprises have ceased to be distinct and either (a) the target’s UK turnover exceeds £70 million, or (b) the parties together supply or acquire at least 25% of goods or services of a particular description in the UK (or a substantial part of it), and the merger results in an increment to that share.</w:t>
      </w:r>
    </w:p>
    <w:p>
      <w:pPr>
        <w:pStyle w:val="Heading2"/>
      </w:pPr>
      <w:r>
        <w:t xml:space="preserve">3.2 Turnover test — not met</w:t>
      </w:r>
    </w:p>
    <w:p>
      <w:pPr>
        <w:spacing w:after="120" w:line="276"/>
      </w:pPr>
      <w:r>
        <w:t xml:space="preserve">Halworth’s UK turnover of c. £24.6m is well below the £70m threshold. The turnover test is not met.</w:t>
      </w:r>
    </w:p>
    <w:p>
      <w:pPr>
        <w:pStyle w:val="Heading2"/>
      </w:pPr>
      <w:r>
        <w:t xml:space="preserve">3.3 Share-of-supply test — likely met</w:t>
      </w:r>
    </w:p>
    <w:p>
      <w:pPr>
        <w:spacing w:after="120" w:line="276"/>
      </w:pPr>
      <w:r>
        <w:t xml:space="preserve">The share-of-supply test is flexible and the CMA enjoys a wide discretion in framing the relevant description of goods or services. On the parties’ internal data, combined shares on plausible frames are as follows: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360"/>
        <w:gridCol w:w="1500"/>
        <w:gridCol w:w="1500"/>
        <w:gridCol w:w="1500"/>
        <w:gridCol w:w="1500"/>
      </w:tblGrid>
      <w:tr>
        <w:trPr>
          <w:tblHeader/>
        </w:trPr>
        <w:tc>
          <w:tcPr>
            <w:tcW w:type="dxa" w:w="3360"/>
            <w:shd w:fill="1F3864" w:val="clear"/>
            <w:tcMar>
              <w:top w:type="dxa" w:w="60"/>
              <w:left w:type="dxa" w:w="120"/>
              <w:bottom w:type="dxa" w:w="60"/>
              <w:right w:type="dxa" w:w="120"/>
            </w:tcMar>
          </w:tcPr>
          <w:p>
            <w:pPr>
              <w:spacing w:after="0"/>
            </w:pPr>
            <w:r>
              <w:rPr>
                <w:b/>
                <w:bCs/>
                <w:color w:val="FFFFFF"/>
                <w:sz w:val="18"/>
                <w:szCs w:val="18"/>
              </w:rPr>
              <w:t xml:space="preserve">Frame (UK supply)</w:t>
            </w:r>
          </w:p>
        </w:tc>
        <w:tc>
          <w:tcPr>
            <w:tcW w:type="dxa" w:w="1500"/>
            <w:shd w:fill="1F3864" w:val="clear"/>
            <w:tcMar>
              <w:top w:type="dxa" w:w="60"/>
              <w:left w:type="dxa" w:w="120"/>
              <w:bottom w:type="dxa" w:w="60"/>
              <w:right w:type="dxa" w:w="120"/>
            </w:tcMar>
          </w:tcPr>
          <w:p>
            <w:pPr>
              <w:spacing w:after="0"/>
            </w:pPr>
            <w:r>
              <w:rPr>
                <w:b/>
                <w:bCs/>
                <w:color w:val="FFFFFF"/>
                <w:sz w:val="18"/>
                <w:szCs w:val="18"/>
              </w:rPr>
              <w:t xml:space="preserve">Pennington</w:t>
            </w:r>
          </w:p>
        </w:tc>
        <w:tc>
          <w:tcPr>
            <w:tcW w:type="dxa" w:w="1500"/>
            <w:shd w:fill="1F3864" w:val="clear"/>
            <w:tcMar>
              <w:top w:type="dxa" w:w="60"/>
              <w:left w:type="dxa" w:w="120"/>
              <w:bottom w:type="dxa" w:w="60"/>
              <w:right w:type="dxa" w:w="120"/>
            </w:tcMar>
          </w:tcPr>
          <w:p>
            <w:pPr>
              <w:spacing w:after="0"/>
            </w:pPr>
            <w:r>
              <w:rPr>
                <w:b/>
                <w:bCs/>
                <w:color w:val="FFFFFF"/>
                <w:sz w:val="18"/>
                <w:szCs w:val="18"/>
              </w:rPr>
              <w:t xml:space="preserve">Halworth</w:t>
            </w:r>
          </w:p>
        </w:tc>
        <w:tc>
          <w:tcPr>
            <w:tcW w:type="dxa" w:w="1500"/>
            <w:shd w:fill="1F3864" w:val="clear"/>
            <w:tcMar>
              <w:top w:type="dxa" w:w="60"/>
              <w:left w:type="dxa" w:w="120"/>
              <w:bottom w:type="dxa" w:w="60"/>
              <w:right w:type="dxa" w:w="120"/>
            </w:tcMar>
          </w:tcPr>
          <w:p>
            <w:pPr>
              <w:spacing w:after="0"/>
            </w:pPr>
            <w:r>
              <w:rPr>
                <w:b/>
                <w:bCs/>
                <w:color w:val="FFFFFF"/>
                <w:sz w:val="18"/>
                <w:szCs w:val="18"/>
              </w:rPr>
              <w:t xml:space="preserve">Combined</w:t>
            </w:r>
          </w:p>
        </w:tc>
        <w:tc>
          <w:tcPr>
            <w:tcW w:type="dxa" w:w="1500"/>
            <w:shd w:fill="1F3864" w:val="clear"/>
            <w:tcMar>
              <w:top w:type="dxa" w:w="60"/>
              <w:left w:type="dxa" w:w="120"/>
              <w:bottom w:type="dxa" w:w="60"/>
              <w:right w:type="dxa" w:w="120"/>
            </w:tcMar>
          </w:tcPr>
          <w:p>
            <w:pPr>
              <w:spacing w:after="0"/>
            </w:pPr>
            <w:r>
              <w:rPr>
                <w:b/>
                <w:bCs/>
                <w:color w:val="FFFFFF"/>
                <w:sz w:val="18"/>
                <w:szCs w:val="18"/>
              </w:rPr>
              <w:t xml:space="preserve">Increment</w:t>
            </w:r>
          </w:p>
        </w:tc>
      </w:tr>
      <w:tr>
        <w:trPr>
          <w:tblHeader w:val="false"/>
        </w:trPr>
        <w:tc>
          <w:tcPr>
            <w:tcW w:type="dxa" w:w="3360"/>
            <w:tcMar>
              <w:top w:type="dxa" w:w="60"/>
              <w:left w:type="dxa" w:w="120"/>
              <w:bottom w:type="dxa" w:w="60"/>
              <w:right w:type="dxa" w:w="120"/>
            </w:tcMar>
          </w:tcPr>
          <w:p>
            <w:pPr>
              <w:spacing w:after="0"/>
            </w:pPr>
            <w:r>
              <w:rPr>
                <w:b w:val="false"/>
                <w:bCs w:val="false"/>
                <w:color w:val="000000"/>
                <w:sz w:val="18"/>
                <w:szCs w:val="18"/>
              </w:rPr>
              <w:t xml:space="preserve">All industrial pumps</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9%</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4%</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13%</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4%</w:t>
            </w:r>
          </w:p>
        </w:tc>
      </w:tr>
      <w:tr>
        <w:trPr>
          <w:tblHeader w:val="false"/>
        </w:trPr>
        <w:tc>
          <w:tcPr>
            <w:tcW w:type="dxa" w:w="3360"/>
            <w:shd w:fill="F2F2F2" w:val="clear"/>
            <w:tcMar>
              <w:top w:type="dxa" w:w="60"/>
              <w:left w:type="dxa" w:w="120"/>
              <w:bottom w:type="dxa" w:w="60"/>
              <w:right w:type="dxa" w:w="120"/>
            </w:tcMar>
          </w:tcPr>
          <w:p>
            <w:pPr>
              <w:spacing w:after="0"/>
            </w:pPr>
            <w:r>
              <w:rPr>
                <w:b w:val="false"/>
                <w:bCs w:val="false"/>
                <w:color w:val="000000"/>
                <w:sz w:val="18"/>
                <w:szCs w:val="18"/>
              </w:rPr>
              <w:t xml:space="preserve">Centrifugal pumps (all end-uses)</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14%</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8%</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22%</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8%</w:t>
            </w:r>
          </w:p>
        </w:tc>
      </w:tr>
      <w:tr>
        <w:trPr>
          <w:tblHeader w:val="false"/>
        </w:trPr>
        <w:tc>
          <w:tcPr>
            <w:tcW w:type="dxa" w:w="3360"/>
            <w:tcMar>
              <w:top w:type="dxa" w:w="60"/>
              <w:left w:type="dxa" w:w="120"/>
              <w:bottom w:type="dxa" w:w="60"/>
              <w:right w:type="dxa" w:w="120"/>
            </w:tcMar>
          </w:tcPr>
          <w:p>
            <w:pPr>
              <w:spacing w:after="0"/>
            </w:pPr>
            <w:r>
              <w:rPr>
                <w:b w:val="false"/>
                <w:bCs w:val="false"/>
                <w:color w:val="000000"/>
                <w:sz w:val="18"/>
                <w:szCs w:val="18"/>
              </w:rPr>
              <w:t xml:space="preserve">Municipal water &amp; wastewater centrifugal pumps</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19%</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17%</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36%</w:t>
            </w:r>
          </w:p>
        </w:tc>
        <w:tc>
          <w:tcPr>
            <w:tcW w:type="dxa" w:w="1500"/>
            <w:tcMar>
              <w:top w:type="dxa" w:w="60"/>
              <w:left w:type="dxa" w:w="120"/>
              <w:bottom w:type="dxa" w:w="60"/>
              <w:right w:type="dxa" w:w="120"/>
            </w:tcMar>
          </w:tcPr>
          <w:p>
            <w:pPr>
              <w:spacing w:after="0"/>
            </w:pPr>
            <w:r>
              <w:rPr>
                <w:b w:val="false"/>
                <w:bCs w:val="false"/>
                <w:color w:val="000000"/>
                <w:sz w:val="18"/>
                <w:szCs w:val="18"/>
              </w:rPr>
              <w:t xml:space="preserve">17%</w:t>
            </w:r>
          </w:p>
        </w:tc>
      </w:tr>
      <w:tr>
        <w:trPr>
          <w:tblHeader w:val="false"/>
        </w:trPr>
        <w:tc>
          <w:tcPr>
            <w:tcW w:type="dxa" w:w="3360"/>
            <w:shd w:fill="F2F2F2" w:val="clear"/>
            <w:tcMar>
              <w:top w:type="dxa" w:w="60"/>
              <w:left w:type="dxa" w:w="120"/>
              <w:bottom w:type="dxa" w:w="60"/>
              <w:right w:type="dxa" w:w="120"/>
            </w:tcMar>
          </w:tcPr>
          <w:p>
            <w:pPr>
              <w:spacing w:after="0"/>
            </w:pPr>
            <w:r>
              <w:rPr>
                <w:b w:val="false"/>
                <w:bCs w:val="false"/>
                <w:color w:val="000000"/>
                <w:sz w:val="18"/>
                <w:szCs w:val="18"/>
              </w:rPr>
              <w:t xml:space="preserve">Submersible drainage pumps (water utilities)</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11%</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21%</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32%</w:t>
            </w:r>
          </w:p>
        </w:tc>
        <w:tc>
          <w:tcPr>
            <w:tcW w:type="dxa" w:w="1500"/>
            <w:shd w:fill="F2F2F2" w:val="clear"/>
            <w:tcMar>
              <w:top w:type="dxa" w:w="60"/>
              <w:left w:type="dxa" w:w="120"/>
              <w:bottom w:type="dxa" w:w="60"/>
              <w:right w:type="dxa" w:w="120"/>
            </w:tcMar>
          </w:tcPr>
          <w:p>
            <w:pPr>
              <w:spacing w:after="0"/>
            </w:pPr>
            <w:r>
              <w:rPr>
                <w:b w:val="false"/>
                <w:bCs w:val="false"/>
                <w:color w:val="000000"/>
                <w:sz w:val="18"/>
                <w:szCs w:val="18"/>
              </w:rPr>
              <w:t xml:space="preserve">21%</w:t>
            </w:r>
          </w:p>
        </w:tc>
      </w:tr>
    </w:tbl>
    <w:p>
      <w:pPr>
        <w:spacing w:after="120" w:line="276"/>
      </w:pPr>
      <w:r>
        <w:t xml:space="preserve">3.4   On the two narrower water-sector frames the combined share comfortably exceeds 25% with a substantial increment. The CMA needs only one reasonable description on which the test is met. We therefore advise that jurisdiction is very likely to be established, and we should not contest it; doing so would damage our credibility on the substantive points that matter.</w:t>
      </w:r>
    </w:p>
    <w:p>
      <w:pPr>
        <w:pStyle w:val="Heading1"/>
      </w:pPr>
      <w:r>
        <w:t xml:space="preserve">4. Substantive assessment — risk of an SLC</w:t>
      </w:r>
    </w:p>
    <w:p>
      <w:pPr>
        <w:spacing w:after="120" w:line="276"/>
      </w:pPr>
      <w:r>
        <w:t xml:space="preserve">4.1   The Phase 1 question is whether it is or may be the case that the merger has resulted, or may be expected to result, in an SLC. The CMA refers at Phase 1 if it has a “realistic prospect” of an SLC — a deliberately low threshold.</w:t>
      </w:r>
    </w:p>
    <w:p>
      <w:pPr>
        <w:pStyle w:val="Heading2"/>
      </w:pPr>
      <w:r>
        <w:t xml:space="preserve">4.2 Theories of harm</w:t>
      </w:r>
    </w:p>
    <w:p>
      <w:pPr>
        <w:spacing w:after="120" w:line="276"/>
      </w:pPr>
      <w:r>
        <w:t xml:space="preserve">We anticipate the CMA will explore unilateral horizontal effects in the supply of centrifugal pumps to UK water utilities and their framework contractors, namely a loss of competition between two close competitors leading to higher prices or reduced innovation/service. We do not expect a credible vertical or conglomerate theory.</w:t>
      </w:r>
    </w:p>
    <w:p>
      <w:pPr>
        <w:pStyle w:val="Heading2"/>
      </w:pPr>
      <w:r>
        <w:t xml:space="preserve">4.3 Factors increasing risk</w:t>
      </w:r>
    </w:p>
    <w:p>
      <w:pPr>
        <w:pStyle w:val="ListParagraph"/>
        <w:numPr>
          <w:ilvl w:val="0"/>
          <w:numId w:val="2"/>
        </w:numPr>
        <w:spacing w:after="80"/>
      </w:pPr>
      <w:r>
        <w:t xml:space="preserve">In municipal water pumps the parties are genuinely close competitors and bid head-to-head on AMP framework tenders; internal documents (including Pennington’s acquisition rationale board paper) describe Halworth as “our most persistent UK competitor on water-utility centrifugal work”.</w:t>
      </w:r>
    </w:p>
    <w:p>
      <w:pPr>
        <w:pStyle w:val="ListParagraph"/>
        <w:numPr>
          <w:ilvl w:val="0"/>
          <w:numId w:val="2"/>
        </w:numPr>
        <w:spacing w:after="80"/>
      </w:pPr>
      <w:r>
        <w:t xml:space="preserve">Customers (the regional water companies and Tier 1 framework contractors) are sophisticated but procure on multi-year frameworks where the field of credible UK-based suppliers is limited.</w:t>
      </w:r>
    </w:p>
    <w:p>
      <w:pPr>
        <w:pStyle w:val="ListParagraph"/>
        <w:numPr>
          <w:ilvl w:val="0"/>
          <w:numId w:val="2"/>
        </w:numPr>
        <w:spacing w:after="80"/>
      </w:pPr>
      <w:r>
        <w:t xml:space="preserve">The combined share on the narrow frame (36%) is high and the increment (17%) is large.</w:t>
      </w:r>
    </w:p>
    <w:p>
      <w:pPr>
        <w:pStyle w:val="Heading2"/>
      </w:pPr>
      <w:r>
        <w:t xml:space="preserve">4.4 Factors reducing risk</w:t>
      </w:r>
    </w:p>
    <w:p>
      <w:pPr>
        <w:pStyle w:val="ListParagraph"/>
        <w:numPr>
          <w:ilvl w:val="0"/>
          <w:numId w:val="2"/>
        </w:numPr>
        <w:spacing w:after="80"/>
      </w:pPr>
      <w:r>
        <w:t xml:space="preserve">Strong remaining competition from global OEMs — Grundfos, Xylem/Flygt, KSB, Sulzer and Wilo — who supply the UK water sector directly and through distributors.</w:t>
      </w:r>
    </w:p>
    <w:p>
      <w:pPr>
        <w:pStyle w:val="ListParagraph"/>
        <w:numPr>
          <w:ilvl w:val="0"/>
          <w:numId w:val="2"/>
        </w:numPr>
        <w:spacing w:after="80"/>
      </w:pPr>
      <w:r>
        <w:t xml:space="preserve">Buyer power: water companies run structured competitive frameworks and can sponsor entry/expansion; several have second-sourcing policies.</w:t>
      </w:r>
    </w:p>
    <w:p>
      <w:pPr>
        <w:pStyle w:val="ListParagraph"/>
        <w:numPr>
          <w:ilvl w:val="0"/>
          <w:numId w:val="2"/>
        </w:numPr>
        <w:spacing w:after="80"/>
      </w:pPr>
      <w:r>
        <w:t xml:space="preserve">Limited barriers to repositioning for process-pump suppliers to bid for water work where specifications are open standard (e.g. EN 733 / ISO 2858).</w:t>
      </w:r>
    </w:p>
    <w:p>
      <w:pPr>
        <w:spacing w:after="120" w:line="276"/>
      </w:pPr>
      <w:r>
        <w:t xml:space="preserve">4.5   Our assessment is that the broad industrial and process frames are defensible, but the municipal-water frame presents a realistic prospect of an SLC at Phase 1. The deal team should assume the CMA will focus there.</w:t>
      </w:r>
    </w:p>
    <w:p>
      <w:pPr>
        <w:pStyle w:val="Heading1"/>
      </w:pPr>
      <w:r>
        <w:t xml:space="preserve">5. Procedure and the IEO risk</w:t>
      </w:r>
    </w:p>
    <w:p>
      <w:pPr>
        <w:spacing w:after="120" w:line="276"/>
      </w:pPr>
      <w:r>
        <w:t xml:space="preserve">5.1   Because the Transaction has completed, the CMA is likely to impose an initial enforcement order under section 72 of the Act requiring Pennington to hold Halworth separate and to preserve its viability and competitiveness pending the outcome. We should engage on the IEO immediately to (a) keep its scope proportionate, and (b) obtain derogations permitting necessary integration steps (shared back-office, group treasury, statutory reporting) that do not prejudice Halworth’s competitive independence.</w:t>
      </w:r>
    </w:p>
    <w:p>
      <w:pPr>
        <w:spacing w:after="120" w:line="276"/>
      </w:pPr>
      <w:r>
        <w:t xml:space="preserve">5.2   We will need to nominate a monitoring trustee if the CMA requires one, and to ensure Pennington complies strictly: breaches of an IEO carry penalties of up to 5% of group worldwide turnover.</w:t>
      </w:r>
    </w:p>
    <w:p>
      <w:pPr>
        <w:pStyle w:val="Heading1"/>
      </w:pPr>
      <w:r>
        <w:t xml:space="preserve">6. Strategy and recommendation</w:t>
      </w:r>
    </w:p>
    <w:p>
      <w:pPr>
        <w:spacing w:after="120" w:line="276"/>
      </w:pPr>
      <w:r>
        <w:t xml:space="preserve">6.1   We recommend a proactive, cooperative approach:</w:t>
      </w:r>
    </w:p>
    <w:p>
      <w:pPr>
        <w:pStyle w:val="ListParagraph"/>
        <w:numPr>
          <w:ilvl w:val="0"/>
          <w:numId w:val="2"/>
        </w:numPr>
        <w:spacing w:after="80"/>
      </w:pPr>
      <w:r>
        <w:t xml:space="preserve">submit a full briefing paper / merger notice early, conceding jurisdiction and framing the competitive assessment on the broad frames while addressing the water-sector concern head-on with bidding and win/loss data;</w:t>
      </w:r>
    </w:p>
    <w:p>
      <w:pPr>
        <w:pStyle w:val="ListParagraph"/>
        <w:numPr>
          <w:ilvl w:val="0"/>
          <w:numId w:val="2"/>
        </w:numPr>
        <w:spacing w:after="80"/>
      </w:pPr>
      <w:r>
        <w:t xml:space="preserve">instruct Calderon Economics to build a robust quantitative case (bidding analysis, diversion, margin and entry evidence) to rebut the unilateral-effects theory on the broad frame and to size any residual concern;</w:t>
      </w:r>
    </w:p>
    <w:p>
      <w:pPr>
        <w:pStyle w:val="ListParagraph"/>
        <w:numPr>
          <w:ilvl w:val="0"/>
          <w:numId w:val="2"/>
        </w:numPr>
        <w:spacing w:after="80"/>
      </w:pPr>
      <w:r>
        <w:t xml:space="preserve">agree a workable IEO with appropriate derogations and demonstrate exemplary compliance; and</w:t>
      </w:r>
    </w:p>
    <w:p>
      <w:pPr>
        <w:pStyle w:val="ListParagraph"/>
        <w:numPr>
          <w:ilvl w:val="0"/>
          <w:numId w:val="2"/>
        </w:numPr>
        <w:spacing w:after="80"/>
      </w:pPr>
      <w:r>
        <w:t xml:space="preserve">prepare, in parallel, a “clear-cut” UIL package — the divestment of Halworth’s municipal-water centrifugal pump line (the Aqualis range and associated AMP framework contracts) to a suitable purchaser — so that, if the CMA reaches a realistic-prospect finding on the narrow frame, we can resolve it at Phase 1 under section 73 and avoid a Phase 2 reference.</w:t>
      </w:r>
    </w:p>
    <w:p>
      <w:pPr>
        <w:spacing w:after="120" w:line="276"/>
      </w:pPr>
      <w:r>
        <w:t xml:space="preserve">6.2   We consider that, with proactive engagement and a credible remedy in reserve, Phase 1 clearance (with or without UILs) is a realistic outcome and a Phase 2 reference can probably be avoided. We will keep the Board updated at each gateway.</w:t>
      </w:r>
    </w:p>
    <w:p>
      <w:pPr>
        <w:spacing w:after="120" w:line="276"/>
      </w:pPr>
      <w:r>
        <w:t xml:space="preserve"/>
      </w:r>
    </w:p>
    <w:p>
      <w:pPr>
        <w:spacing w:after="120" w:line="276"/>
      </w:pPr>
      <w:r>
        <w:rPr>
          <w:b/>
          <w:bCs/>
        </w:rPr>
        <w:t xml:space="preserve">Sarah Whitfield · James Osei</w:t>
      </w:r>
    </w:p>
    <w:p>
      <w:pPr>
        <w:spacing w:after="120" w:line="276"/>
      </w:pPr>
      <w:r>
        <w:t xml:space="preserve">Whitfield Carter LLP — 18 November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40" w:before="60"/>
    </w:pPr>
    <w:r>
      <w:rPr>
        <w:color w:val="808080"/>
        <w:sz w:val="13"/>
        <w:szCs w:val="13"/>
      </w:rPr>
      <w:t xml:space="preserve">Whitfield Carter LLP is a limited liability partnership registered in England and Wales (OC418802). A list of members is available at the registered office. Authorised and regulated by the Solicitors Regulation Authority. This communication is confidential and may be legally privileged.</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2026-06-25T13:38:20.478Z</dcterms:created>
  <dcterms:modified xsi:type="dcterms:W3CDTF">2026-06-25T13:38:20.479Z</dcterms:modified>
</cp:coreProperties>
</file>

<file path=docProps/custom.xml><?xml version="1.0" encoding="utf-8"?>
<Properties xmlns="http://schemas.openxmlformats.org/officeDocument/2006/custom-properties" xmlns:vt="http://schemas.openxmlformats.org/officeDocument/2006/docPropsVTypes"/>
</file>