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595959"/>
          <w:sz w:val="18"/>
          <w:szCs w:val="18"/>
        </w:rPr>
        <w:t xml:space="preserve">22 Bishopsgate, London EC2N 4BQ</w:t>
      </w:r>
    </w:p>
    <w:p>
      <w:pPr>
        <w:spacing w:after="120"/>
        <w:jc w:val="right"/>
      </w:pPr>
      <w:r>
        <w:rPr>
          <w:color w:val="595959"/>
          <w:sz w:val="18"/>
          <w:szCs w:val="18"/>
        </w:rPr>
        <w:t xml:space="preserve">T +44 (0)20 7946 0500  ·  www.whitfieldcarter.com</w:t>
      </w:r>
    </w:p>
    <w:p>
      <w:pPr>
        <w:pBdr>
          <w:bottom w:val="single" w:color="1F3864" w:sz="8" w:space="2"/>
        </w:pBdr>
        <w:spacing w:after="200"/>
      </w:pPr>
    </w:p>
    <w:p>
      <w:pPr>
        <w:spacing w:after="120" w:line="276"/>
      </w:pPr>
      <w:r>
        <w:rPr>
          <w:b/>
          <w:bCs/>
        </w:rPr>
        <w:t xml:space="preserve">STRICTLY CONFIDENTIAL</w:t>
      </w:r>
    </w:p>
    <w:p>
      <w:pPr>
        <w:spacing w:after="120" w:line="276"/>
      </w:pPr>
      <w:r>
        <w:rPr>
          <w:color w:val="595959"/>
          <w:sz w:val="18"/>
          <w:szCs w:val="18"/>
        </w:rPr>
        <w:t xml:space="preserve">Our ref: SW/JO/WC-00117   ·   Your ref: ME/7104/25</w:t>
      </w:r>
    </w:p>
    <w:p>
      <w:pPr>
        <w:spacing w:after="120" w:line="276"/>
      </w:pPr>
      <w:r>
        <w:t xml:space="preserve">By secure file transfer</w:t>
      </w:r>
    </w:p>
    <w:p>
      <w:pPr>
        <w:spacing w:after="120" w:line="276"/>
      </w:pPr>
      <w:r>
        <w:rPr>
          <w:b/>
          <w:bCs/>
        </w:rPr>
        <w:t xml:space="preserve">Mr Adrian Renton</w:t>
      </w:r>
    </w:p>
    <w:p>
      <w:pPr>
        <w:spacing w:after="120" w:line="276"/>
      </w:pPr>
      <w:r>
        <w:t xml:space="preserve">Director of Mergers — Case Team (Pennington / Halworth)</w:t>
      </w:r>
    </w:p>
    <w:p>
      <w:pPr>
        <w:spacing w:after="120" w:line="276"/>
      </w:pPr>
      <w:r>
        <w:t xml:space="preserve">Competition and Markets Authority</w:t>
      </w:r>
    </w:p>
    <w:p>
      <w:pPr>
        <w:spacing w:after="120" w:line="276"/>
      </w:pPr>
      <w:r>
        <w:t xml:space="preserve">The Cabot, 25 Cabot Square, London E14 4QZ</w:t>
      </w:r>
    </w:p>
    <w:p>
      <w:pPr>
        <w:spacing w:after="120" w:line="276"/>
        <w:jc w:val="right"/>
      </w:pPr>
      <w:r>
        <w:t xml:space="preserve">19 January 2026</w:t>
      </w:r>
    </w:p>
    <w:p>
      <w:pPr>
        <w:spacing w:after="120" w:line="276"/>
      </w:pPr>
      <w:r>
        <w:t xml:space="preserve">Dear Mr Renton</w:t>
      </w:r>
    </w:p>
    <w:p>
      <w:pPr>
        <w:spacing w:after="120" w:line="276"/>
      </w:pPr>
      <w:r>
        <w:rPr>
          <w:b/>
          <w:bCs/>
        </w:rPr>
        <w:t xml:space="preserve">Pennington Industries Limited / Halworth Pump Systems Limited — response to the notice under section 109 of the Enterprise Act 2002 dated 8 January 2026</w:t>
      </w:r>
    </w:p>
    <w:p>
      <w:pPr>
        <w:spacing w:after="120" w:line="276"/>
      </w:pPr>
      <w:r>
        <w:t xml:space="preserve">We refer to the CMA’s notice under section 109 of the Enterprise Act 2002 (the “Notice”) issued to our client, Pennington Industries Limited (“Pennington”), on 8 January 2026, requiring the production of documents and information by 22 January 2026. We write on Pennington’s behalf to provide its response. The documents and data responsive to each question are provided in the accompanying indexed data room (folders 1–9), and a privilege log is enclosed at Annex A in respect of the limited material withheld on grounds of legal professional privilege.</w:t>
      </w:r>
    </w:p>
    <w:p>
      <w:pPr>
        <w:pStyle w:val="Heading2"/>
      </w:pPr>
      <w:r>
        <w:t xml:space="preserve">Question 1 — Internal documents relating to the acquisition rationale</w:t>
      </w:r>
    </w:p>
    <w:p>
      <w:pPr>
        <w:spacing w:after="120" w:line="276"/>
      </w:pPr>
      <w:r>
        <w:t xml:space="preserve">Pennington has provided, at folder 1, the board papers, management presentations and email correspondence relating to the decision to acquire Halworth, covering the period 1 January 2025 to completion. We draw the case team’s attention to the acquisition rationale board paper of 14 May 2025 (document 1.04), which sets out the strategic and operational drivers for the Transaction, principally the extension of Pennington’s product range into submersible drainage and municipal-water applications and the acquisition of engineering capacity.</w:t>
      </w:r>
    </w:p>
    <w:p>
      <w:pPr>
        <w:pStyle w:val="Heading2"/>
      </w:pPr>
      <w:r>
        <w:t xml:space="preserve">Question 2 — Bidding and win/loss data</w:t>
      </w:r>
    </w:p>
    <w:p>
      <w:pPr>
        <w:spacing w:after="120" w:line="276"/>
      </w:pPr>
      <w:r>
        <w:t xml:space="preserve">Pennington has provided, at folder 2, its tender and bidding records for centrifugal and submersible pumps for the period 1 January 2022 to 30 September 2025, including, for each relevant tender, the customer, the products bid, the price, the identity of competing bidders where known, and the outcome. The data have been provided in machine-readable form to assist the CMA’s and our economists’ analysis. As the data show, Pennington and Halworth bid against each other in a minority of relevant tenders, and global OEMs participated in the majority of municipal-water tenders.</w:t>
      </w:r>
    </w:p>
    <w:p>
      <w:pPr>
        <w:pStyle w:val="Heading2"/>
      </w:pPr>
      <w:r>
        <w:t xml:space="preserve">Question 3 — Customers and contacts</w:t>
      </w:r>
    </w:p>
    <w:p>
      <w:pPr>
        <w:spacing w:after="120" w:line="276"/>
      </w:pPr>
      <w:r>
        <w:t xml:space="preserve">A list of Pennington’s and Halworth’s customers in the water sector, together with named procurement contacts and indicative annual spend, is provided at folder 3. We are content for the CMA to contact these customers and have not, and will not, seek to influence any responses.</w:t>
      </w:r>
    </w:p>
    <w:p>
      <w:pPr>
        <w:pStyle w:val="Heading2"/>
      </w:pPr>
      <w:r>
        <w:t xml:space="preserve">Question 4 — Competitors, market shares and capacity</w:t>
      </w:r>
    </w:p>
    <w:p>
      <w:pPr>
        <w:spacing w:after="120" w:line="276"/>
      </w:pPr>
      <w:r>
        <w:t xml:space="preserve">Pennington’s estimates of market shares on the frames discussed in our briefing paper, together with the underlying methodology and capacity information, are provided at folder 4. These are necessarily estimates; we should be glad to discuss the appropriate denominators with the case team and the CMA’s economists.</w:t>
      </w:r>
    </w:p>
    <w:p>
      <w:pPr>
        <w:pStyle w:val="Heading2"/>
      </w:pPr>
      <w:r>
        <w:t xml:space="preserve">Question 5 — Hold-separate and integration</w:t>
      </w:r>
    </w:p>
    <w:p>
      <w:pPr>
        <w:spacing w:after="120" w:line="276"/>
      </w:pPr>
      <w:r>
        <w:t xml:space="preserve">Documents evidencing Pennington’s compliance with the initial enforcement order of 16 December 2025, including the appointment of the Hold Separate Manager and the integration steps taken to date (each within an agreed derogation), are provided at folder 5.</w:t>
      </w:r>
    </w:p>
    <w:p>
      <w:pPr>
        <w:spacing w:after="120" w:line="276"/>
      </w:pPr>
      <w:r>
        <w:t xml:space="preserve">We confirm that, to the best of Pennington’s knowledge and belief, the response is complete and accurate and that the searches undertaken were reasonable and proportionate to the scope of the Notice. The custodians searched, the date ranges and the search terms applied are described in the methodology statement at Annex B.</w:t>
      </w:r>
    </w:p>
    <w:p>
      <w:pPr>
        <w:spacing w:after="120" w:line="276"/>
      </w:pPr>
      <w:r>
        <w:t xml:space="preserve">We should welcome the opportunity to discuss the response, and in particular the bidding analysis, at the issues meeting. We remain committed to constructive engagement and to assisting the CMA to conclude its Phase 1 review within the statutory timetable.</w:t>
      </w:r>
    </w:p>
    <w:p>
      <w:pPr>
        <w:spacing w:after="120" w:line="276"/>
      </w:pPr>
      <w:r>
        <w:t xml:space="preserve">Yours sincerely</w:t>
      </w:r>
    </w:p>
    <w:p>
      <w:pPr>
        <w:spacing w:after="120" w:line="276"/>
      </w:pPr>
      <w:r>
        <w:t xml:space="preserve"> </w:t>
      </w:r>
    </w:p>
    <w:p>
      <w:pPr>
        <w:spacing w:after="120" w:line="276"/>
      </w:pPr>
      <w:r>
        <w:rPr>
          <w:b/>
          <w:bCs/>
        </w:rPr>
        <w:t xml:space="preserve">James Osei</w:t>
      </w:r>
    </w:p>
    <w:p>
      <w:pPr>
        <w:spacing w:after="120" w:line="276"/>
      </w:pPr>
      <w:r>
        <w:t xml:space="preserve">Senior Associate, for and on behalf of Whitfield Carter LLP</w:t>
      </w:r>
    </w:p>
    <w:p>
      <w:pPr>
        <w:spacing w:after="120" w:line="276"/>
      </w:pPr>
      <w:r>
        <w:t xml:space="preserve">james.osei@whitfieldcarter.com  ·  +44 (0)20 7946 0531</w:t>
      </w:r>
    </w:p>
    <w:p>
      <w:pPr>
        <w:spacing w:after="120" w:line="276"/>
      </w:pPr>
      <w:r>
        <w:t xml:space="preserve">Enc: Indexed data room (folders 1–9); Annex A (privilege log); Annex B (search methodology)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40" w:before="60"/>
    </w:pPr>
    <w:r>
      <w:rPr>
        <w:color w:val="808080"/>
        <w:sz w:val="13"/>
        <w:szCs w:val="13"/>
      </w:rPr>
      <w:t xml:space="preserve">Whitfield Carter LLP is a limited liability partnership registered in England and Wales (OC418802). A list of members is available at the registered office. Authorised and regulated by the Solicitors Regulation Authority. This communication is confidential and may be legally privileged.</w:t>
    </w:r>
  </w:p>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2026-06-25T13:38:20.761Z</dcterms:created>
  <dcterms:modified xsi:type="dcterms:W3CDTF">2026-06-25T13:38:20.761Z</dcterms:modified>
</cp:coreProperties>
</file>

<file path=docProps/custom.xml><?xml version="1.0" encoding="utf-8"?>
<Properties xmlns="http://schemas.openxmlformats.org/officeDocument/2006/custom-properties" xmlns:vt="http://schemas.openxmlformats.org/officeDocument/2006/docPropsVTypes"/>
</file>