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595959"/>
          <w:sz w:val="18"/>
          <w:szCs w:val="18"/>
        </w:rPr>
        <w:t xml:space="preserve">22 Bishopsgate, London EC2N 4BQ</w:t>
      </w:r>
    </w:p>
    <w:p>
      <w:pPr>
        <w:spacing w:after="120"/>
        <w:jc w:val="right"/>
      </w:pPr>
      <w:r>
        <w:rPr>
          <w:color w:val="595959"/>
          <w:sz w:val="18"/>
          <w:szCs w:val="18"/>
        </w:rPr>
        <w:t xml:space="preserve">T +44 (0)20 7946 0500  ·  www.whitfieldcarter.com</w:t>
      </w:r>
    </w:p>
    <w:p>
      <w:pPr>
        <w:pBdr>
          <w:bottom w:val="single" w:color="1F3864" w:sz="8" w:space="2"/>
        </w:pBdr>
        <w:spacing w:after="200"/>
      </w:pPr>
    </w:p>
    <w:p>
      <w:pPr>
        <w:spacing w:after="120" w:line="276"/>
      </w:pPr>
      <w:r>
        <w:rPr>
          <w:b/>
          <w:bCs/>
        </w:rPr>
        <w:t xml:space="preserve">STRICTLY PRIVATE &amp; CONFIDENTIAL</w:t>
      </w:r>
    </w:p>
    <w:p>
      <w:pPr>
        <w:spacing w:after="120" w:line="276"/>
      </w:pPr>
      <w:r>
        <w:rPr>
          <w:color w:val="595959"/>
          <w:sz w:val="18"/>
          <w:szCs w:val="18"/>
        </w:rPr>
        <w:t xml:space="preserve">Our ref: SW/JO/WC-00117</w:t>
      </w:r>
    </w:p>
    <w:p>
      <w:pPr>
        <w:spacing w:after="120" w:line="276"/>
      </w:pPr>
      <w:r>
        <w:t xml:space="preserve">By email and post</w:t>
      </w:r>
    </w:p>
    <w:p>
      <w:pPr>
        <w:spacing w:after="120" w:line="276"/>
      </w:pPr>
      <w:r>
        <w:rPr>
          <w:b/>
          <w:bCs/>
        </w:rPr>
        <w:t xml:space="preserve">Ms Grace Underwood</w:t>
      </w:r>
    </w:p>
    <w:p>
      <w:pPr>
        <w:spacing w:after="120" w:line="276"/>
      </w:pPr>
      <w:r>
        <w:t xml:space="preserve">Group Finance Director</w:t>
      </w:r>
    </w:p>
    <w:p>
      <w:pPr>
        <w:spacing w:after="120" w:line="276"/>
      </w:pPr>
      <w:r>
        <w:t xml:space="preserve">Pennington Industries Limited</w:t>
      </w:r>
    </w:p>
    <w:p>
      <w:pPr>
        <w:spacing w:after="120" w:line="276"/>
      </w:pPr>
      <w:r>
        <w:t xml:space="preserve">Brunel House, Dudley Road, Birmingham B18 7QD</w:t>
      </w:r>
    </w:p>
    <w:p>
      <w:pPr>
        <w:spacing w:after="120" w:line="276"/>
        <w:jc w:val="right"/>
      </w:pPr>
      <w:r>
        <w:t xml:space="preserve">10 November 2025</w:t>
      </w:r>
    </w:p>
    <w:p>
      <w:pPr>
        <w:spacing w:after="120" w:line="276"/>
      </w:pPr>
      <w:r>
        <w:t xml:space="preserve">Dear Grace</w:t>
      </w:r>
    </w:p>
    <w:p>
      <w:pPr>
        <w:spacing w:after="120" w:line="276"/>
      </w:pPr>
      <w:r>
        <w:rPr>
          <w:b/>
          <w:bCs/>
        </w:rPr>
        <w:t xml:space="preserve">Project Forge — CMA review of the acquisition of Halworth Pump Systems Limited</w:t>
      </w:r>
    </w:p>
    <w:p>
      <w:pPr>
        <w:spacing w:after="120" w:line="276"/>
      </w:pPr>
      <w:r>
        <w:t xml:space="preserve">Thank you for instructing Whitfield Carter LLP in connection with the review by the Competition and Markets Authority (the “CMA”) of Pennington Industries Limited’s acquisition of the entire issued share capital of Halworth Pump Systems Limited (“Halworth”), which completed on 30 September 2025 (the “Transaction”). This letter, together with our enclosed standard terms of business, sets out the basis on which we will act for you. Please review it carefully and return a signed copy to confirm your agreement.</w:t>
      </w:r>
    </w:p>
    <w:p>
      <w:pPr>
        <w:pStyle w:val="Heading2"/>
      </w:pPr>
      <w:r>
        <w:t xml:space="preserve">1. Scope of our engagement</w:t>
      </w:r>
    </w:p>
    <w:p>
      <w:pPr>
        <w:spacing w:after="120" w:line="276"/>
      </w:pPr>
      <w:r>
        <w:t xml:space="preserve">We understand that on 31 October 2025 the CMA’s Mergers Intelligence Committee opened a preliminary enquiry into the Transaction and invited Pennington to provide information under the merger intelligence function. The Transaction was not notified to the CMA before completion (the UK merger control regime being voluntary and non-suspensory) and the CMA is now considering whether to open a Phase 1 investigation under section 22 of the Enterprise Act 2002 (the “Act”).</w:t>
      </w:r>
    </w:p>
    <w:p>
      <w:pPr>
        <w:spacing w:after="120" w:line="276"/>
      </w:pPr>
      <w:r>
        <w:t xml:space="preserve">Our instructions are to advise Pennington on the conduct of the CMA review and, in particular, to:</w:t>
      </w:r>
    </w:p>
    <w:p>
      <w:pPr>
        <w:pStyle w:val="ListParagraph"/>
        <w:numPr>
          <w:ilvl w:val="0"/>
          <w:numId w:val="2"/>
        </w:numPr>
        <w:spacing w:after="80"/>
      </w:pPr>
      <w:r>
        <w:t xml:space="preserve">assess the jurisdictional position, including whether the share-of-supply test and/or turnover test in section 23 of the Act is met, and the prospects of the CMA exercising its call-in power;</w:t>
      </w:r>
    </w:p>
    <w:p>
      <w:pPr>
        <w:pStyle w:val="ListParagraph"/>
        <w:numPr>
          <w:ilvl w:val="0"/>
          <w:numId w:val="2"/>
        </w:numPr>
        <w:spacing w:after="80"/>
      </w:pPr>
      <w:r>
        <w:t xml:space="preserve">prepare and submit a briefing paper / merger notice and respond to the CMA’s information requests and any notice under section 109 of the Act;</w:t>
      </w:r>
    </w:p>
    <w:p>
      <w:pPr>
        <w:pStyle w:val="ListParagraph"/>
        <w:numPr>
          <w:ilvl w:val="0"/>
          <w:numId w:val="2"/>
        </w:numPr>
        <w:spacing w:after="80"/>
      </w:pPr>
      <w:r>
        <w:t xml:space="preserve">advise on, and where appropriate negotiate, any initial enforcement order (an “IEO”) under section 72 of the Act and any derogations from it;</w:t>
      </w:r>
    </w:p>
    <w:p>
      <w:pPr>
        <w:pStyle w:val="ListParagraph"/>
        <w:numPr>
          <w:ilvl w:val="0"/>
          <w:numId w:val="2"/>
        </w:numPr>
        <w:spacing w:after="80"/>
      </w:pPr>
      <w:r>
        <w:t xml:space="preserve">advise on the substantive competitive assessment and the realistic prospect of a substantial lessening of competition (“SLC”); and</w:t>
      </w:r>
    </w:p>
    <w:p>
      <w:pPr>
        <w:pStyle w:val="ListParagraph"/>
        <w:numPr>
          <w:ilvl w:val="0"/>
          <w:numId w:val="2"/>
        </w:numPr>
        <w:spacing w:after="80"/>
      </w:pPr>
      <w:r>
        <w:t xml:space="preserve">if a Phase 1 SLC concern arises, advise on and negotiate undertakings in lieu of reference (“UILs”) under section 73 of the Act with a view to securing clearance without a Phase 2 reference.</w:t>
      </w:r>
    </w:p>
    <w:p>
      <w:pPr>
        <w:pStyle w:val="Heading2"/>
      </w:pPr>
      <w:r>
        <w:t xml:space="preserve">2. Our team and supervision</w:t>
      </w:r>
    </w:p>
    <w:p>
      <w:pPr>
        <w:spacing w:after="120" w:line="276"/>
      </w:pPr>
      <w:r>
        <w:t xml:space="preserve">The partner with overall responsibility for this matter is Sarah Whitfield. The day-to-day conduct of the matter will be led by James Osei (Senior Associate), supported by Tom Gallagher (Associate). We will instruct Calderon Economics LLP to provide competition economics support on the share-of-supply and SLC analysis, and we may instruct leading counsel if a Phase 2 reference becomes likely. We will agree the instruction of any third party with you in advance.</w:t>
      </w:r>
    </w:p>
    <w:p>
      <w:pPr>
        <w:pStyle w:val="Heading2"/>
      </w:pPr>
      <w:r>
        <w:t xml:space="preserve">3. Fees and disbursements</w:t>
      </w:r>
    </w:p>
    <w:p>
      <w:pPr>
        <w:spacing w:after="120" w:line="276"/>
      </w:pPr>
      <w:r>
        <w:t xml:space="preserve">Our fees are calculated principally by reference to the time spent on the matter at the hourly rates of the individuals concerned. The current rates (exclusive of VAT) for the team are set out below. Rates are reviewed annually, usually with effect from 1 April.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600"/>
        <w:gridCol w:w="3360"/>
        <w:gridCol w:w="2400"/>
      </w:tblGrid>
      <w:tr>
        <w:trPr>
          <w:tblHeader/>
        </w:trPr>
        <w:tc>
          <w:tcPr>
            <w:tcW w:type="dxa" w:w="3600"/>
            <w:shd w:fill="1F3864" w:val="clear"/>
            <w:tcMar>
              <w:top w:type="dxa" w:w="60"/>
              <w:left w:type="dxa" w:w="120"/>
              <w:bottom w:type="dxa" w:w="60"/>
              <w:right w:type="dxa" w:w="120"/>
            </w:tcMar>
          </w:tcPr>
          <w:p>
            <w:pPr>
              <w:spacing w:after="0"/>
            </w:pPr>
            <w:r>
              <w:rPr>
                <w:b/>
                <w:bCs/>
                <w:color w:val="FFFFFF"/>
                <w:sz w:val="18"/>
                <w:szCs w:val="18"/>
              </w:rPr>
              <w:t xml:space="preserve">Fee-earner</w:t>
            </w:r>
          </w:p>
        </w:tc>
        <w:tc>
          <w:tcPr>
            <w:tcW w:type="dxa" w:w="3360"/>
            <w:shd w:fill="1F3864" w:val="clear"/>
            <w:tcMar>
              <w:top w:type="dxa" w:w="60"/>
              <w:left w:type="dxa" w:w="120"/>
              <w:bottom w:type="dxa" w:w="60"/>
              <w:right w:type="dxa" w:w="120"/>
            </w:tcMar>
          </w:tcPr>
          <w:p>
            <w:pPr>
              <w:spacing w:after="0"/>
            </w:pPr>
            <w:r>
              <w:rPr>
                <w:b/>
                <w:bCs/>
                <w:color w:val="FFFFFF"/>
                <w:sz w:val="18"/>
                <w:szCs w:val="18"/>
              </w:rPr>
              <w:t xml:space="preserve">Position</w:t>
            </w:r>
          </w:p>
        </w:tc>
        <w:tc>
          <w:tcPr>
            <w:tcW w:type="dxa" w:w="2400"/>
            <w:shd w:fill="1F3864" w:val="clear"/>
            <w:tcMar>
              <w:top w:type="dxa" w:w="60"/>
              <w:left w:type="dxa" w:w="120"/>
              <w:bottom w:type="dxa" w:w="60"/>
              <w:right w:type="dxa" w:w="120"/>
            </w:tcMar>
          </w:tcPr>
          <w:p>
            <w:pPr>
              <w:spacing w:after="0"/>
            </w:pPr>
            <w:r>
              <w:rPr>
                <w:b/>
                <w:bCs/>
                <w:color w:val="FFFFFF"/>
                <w:sz w:val="18"/>
                <w:szCs w:val="18"/>
              </w:rPr>
              <w:t xml:space="preserve">Rate (£/hour)</w:t>
            </w:r>
          </w:p>
        </w:tc>
      </w:tr>
      <w:tr>
        <w:trPr>
          <w:tblHeader w:val="false"/>
        </w:trPr>
        <w:tc>
          <w:tcPr>
            <w:tcW w:type="dxa" w:w="3600"/>
            <w:tcMar>
              <w:top w:type="dxa" w:w="60"/>
              <w:left w:type="dxa" w:w="120"/>
              <w:bottom w:type="dxa" w:w="60"/>
              <w:right w:type="dxa" w:w="120"/>
            </w:tcMar>
          </w:tcPr>
          <w:p>
            <w:pPr>
              <w:spacing w:after="0"/>
            </w:pPr>
            <w:r>
              <w:rPr>
                <w:b w:val="false"/>
                <w:bCs w:val="false"/>
                <w:color w:val="000000"/>
                <w:sz w:val="18"/>
                <w:szCs w:val="18"/>
              </w:rPr>
              <w:t xml:space="preserve">Sarah Whitfield</w:t>
            </w:r>
          </w:p>
        </w:tc>
        <w:tc>
          <w:tcPr>
            <w:tcW w:type="dxa" w:w="3360"/>
            <w:tcMar>
              <w:top w:type="dxa" w:w="60"/>
              <w:left w:type="dxa" w:w="120"/>
              <w:bottom w:type="dxa" w:w="60"/>
              <w:right w:type="dxa" w:w="120"/>
            </w:tcMar>
          </w:tcPr>
          <w:p>
            <w:pPr>
              <w:spacing w:after="0"/>
            </w:pPr>
            <w:r>
              <w:rPr>
                <w:b w:val="false"/>
                <w:bCs w:val="false"/>
                <w:color w:val="000000"/>
                <w:sz w:val="18"/>
                <w:szCs w:val="18"/>
              </w:rPr>
              <w:t xml:space="preserve">Partner</w:t>
            </w:r>
          </w:p>
        </w:tc>
        <w:tc>
          <w:tcPr>
            <w:tcW w:type="dxa" w:w="2400"/>
            <w:tcMar>
              <w:top w:type="dxa" w:w="60"/>
              <w:left w:type="dxa" w:w="120"/>
              <w:bottom w:type="dxa" w:w="60"/>
              <w:right w:type="dxa" w:w="120"/>
            </w:tcMar>
          </w:tcPr>
          <w:p>
            <w:pPr>
              <w:spacing w:after="0"/>
            </w:pPr>
            <w:r>
              <w:rPr>
                <w:b w:val="false"/>
                <w:bCs w:val="false"/>
                <w:color w:val="000000"/>
                <w:sz w:val="18"/>
                <w:szCs w:val="18"/>
              </w:rPr>
              <w:t xml:space="preserve">795</w:t>
            </w:r>
          </w:p>
        </w:tc>
      </w:tr>
      <w:tr>
        <w:trPr>
          <w:tblHeader w:val="false"/>
        </w:trPr>
        <w:tc>
          <w:tcPr>
            <w:tcW w:type="dxa" w:w="3600"/>
            <w:shd w:fill="F2F2F2" w:val="clear"/>
            <w:tcMar>
              <w:top w:type="dxa" w:w="60"/>
              <w:left w:type="dxa" w:w="120"/>
              <w:bottom w:type="dxa" w:w="60"/>
              <w:right w:type="dxa" w:w="120"/>
            </w:tcMar>
          </w:tcPr>
          <w:p>
            <w:pPr>
              <w:spacing w:after="0"/>
            </w:pPr>
            <w:r>
              <w:rPr>
                <w:b w:val="false"/>
                <w:bCs w:val="false"/>
                <w:color w:val="000000"/>
                <w:sz w:val="18"/>
                <w:szCs w:val="18"/>
              </w:rPr>
              <w:t xml:space="preserve">James Osei</w:t>
            </w:r>
          </w:p>
        </w:tc>
        <w:tc>
          <w:tcPr>
            <w:tcW w:type="dxa" w:w="3360"/>
            <w:shd w:fill="F2F2F2" w:val="clear"/>
            <w:tcMar>
              <w:top w:type="dxa" w:w="60"/>
              <w:left w:type="dxa" w:w="120"/>
              <w:bottom w:type="dxa" w:w="60"/>
              <w:right w:type="dxa" w:w="120"/>
            </w:tcMar>
          </w:tcPr>
          <w:p>
            <w:pPr>
              <w:spacing w:after="0"/>
            </w:pPr>
            <w:r>
              <w:rPr>
                <w:b w:val="false"/>
                <w:bCs w:val="false"/>
                <w:color w:val="000000"/>
                <w:sz w:val="18"/>
                <w:szCs w:val="18"/>
              </w:rPr>
              <w:t xml:space="preserve">Senior Associate</w:t>
            </w:r>
          </w:p>
        </w:tc>
        <w:tc>
          <w:tcPr>
            <w:tcW w:type="dxa" w:w="2400"/>
            <w:shd w:fill="F2F2F2" w:val="clear"/>
            <w:tcMar>
              <w:top w:type="dxa" w:w="60"/>
              <w:left w:type="dxa" w:w="120"/>
              <w:bottom w:type="dxa" w:w="60"/>
              <w:right w:type="dxa" w:w="120"/>
            </w:tcMar>
          </w:tcPr>
          <w:p>
            <w:pPr>
              <w:spacing w:after="0"/>
            </w:pPr>
            <w:r>
              <w:rPr>
                <w:b w:val="false"/>
                <w:bCs w:val="false"/>
                <w:color w:val="000000"/>
                <w:sz w:val="18"/>
                <w:szCs w:val="18"/>
              </w:rPr>
              <w:t xml:space="preserve">565</w:t>
            </w:r>
          </w:p>
        </w:tc>
      </w:tr>
      <w:tr>
        <w:trPr>
          <w:tblHeader w:val="false"/>
        </w:trPr>
        <w:tc>
          <w:tcPr>
            <w:tcW w:type="dxa" w:w="3600"/>
            <w:tcMar>
              <w:top w:type="dxa" w:w="60"/>
              <w:left w:type="dxa" w:w="120"/>
              <w:bottom w:type="dxa" w:w="60"/>
              <w:right w:type="dxa" w:w="120"/>
            </w:tcMar>
          </w:tcPr>
          <w:p>
            <w:pPr>
              <w:spacing w:after="0"/>
            </w:pPr>
            <w:r>
              <w:rPr>
                <w:b w:val="false"/>
                <w:bCs w:val="false"/>
                <w:color w:val="000000"/>
                <w:sz w:val="18"/>
                <w:szCs w:val="18"/>
              </w:rPr>
              <w:t xml:space="preserve">Tom Gallagher</w:t>
            </w:r>
          </w:p>
        </w:tc>
        <w:tc>
          <w:tcPr>
            <w:tcW w:type="dxa" w:w="3360"/>
            <w:tcMar>
              <w:top w:type="dxa" w:w="60"/>
              <w:left w:type="dxa" w:w="120"/>
              <w:bottom w:type="dxa" w:w="60"/>
              <w:right w:type="dxa" w:w="120"/>
            </w:tcMar>
          </w:tcPr>
          <w:p>
            <w:pPr>
              <w:spacing w:after="0"/>
            </w:pPr>
            <w:r>
              <w:rPr>
                <w:b w:val="false"/>
                <w:bCs w:val="false"/>
                <w:color w:val="000000"/>
                <w:sz w:val="18"/>
                <w:szCs w:val="18"/>
              </w:rPr>
              <w:t xml:space="preserve">Associate</w:t>
            </w:r>
          </w:p>
        </w:tc>
        <w:tc>
          <w:tcPr>
            <w:tcW w:type="dxa" w:w="2400"/>
            <w:tcMar>
              <w:top w:type="dxa" w:w="60"/>
              <w:left w:type="dxa" w:w="120"/>
              <w:bottom w:type="dxa" w:w="60"/>
              <w:right w:type="dxa" w:w="120"/>
            </w:tcMar>
          </w:tcPr>
          <w:p>
            <w:pPr>
              <w:spacing w:after="0"/>
            </w:pPr>
            <w:r>
              <w:rPr>
                <w:b w:val="false"/>
                <w:bCs w:val="false"/>
                <w:color w:val="000000"/>
                <w:sz w:val="18"/>
                <w:szCs w:val="18"/>
              </w:rPr>
              <w:t xml:space="preserve">410</w:t>
            </w:r>
          </w:p>
        </w:tc>
      </w:tr>
      <w:tr>
        <w:trPr>
          <w:tblHeader w:val="false"/>
        </w:trPr>
        <w:tc>
          <w:tcPr>
            <w:tcW w:type="dxa" w:w="3600"/>
            <w:shd w:fill="F2F2F2" w:val="clear"/>
            <w:tcMar>
              <w:top w:type="dxa" w:w="60"/>
              <w:left w:type="dxa" w:w="120"/>
              <w:bottom w:type="dxa" w:w="60"/>
              <w:right w:type="dxa" w:w="120"/>
            </w:tcMar>
          </w:tcPr>
          <w:p>
            <w:pPr>
              <w:spacing w:after="0"/>
            </w:pPr>
            <w:r>
              <w:rPr>
                <w:b w:val="false"/>
                <w:bCs w:val="false"/>
                <w:color w:val="000000"/>
                <w:sz w:val="18"/>
                <w:szCs w:val="18"/>
              </w:rPr>
              <w:t xml:space="preserve">Trainee / paralegal</w:t>
            </w:r>
          </w:p>
        </w:tc>
        <w:tc>
          <w:tcPr>
            <w:tcW w:type="dxa" w:w="3360"/>
            <w:shd w:fill="F2F2F2" w:val="clear"/>
            <w:tcMar>
              <w:top w:type="dxa" w:w="60"/>
              <w:left w:type="dxa" w:w="120"/>
              <w:bottom w:type="dxa" w:w="60"/>
              <w:right w:type="dxa" w:w="120"/>
            </w:tcMar>
          </w:tcPr>
          <w:p>
            <w:pPr>
              <w:spacing w:after="0"/>
            </w:pPr>
            <w:r>
              <w:rPr>
                <w:b w:val="false"/>
                <w:bCs w:val="false"/>
                <w:color w:val="000000"/>
                <w:sz w:val="18"/>
                <w:szCs w:val="18"/>
              </w:rPr>
              <w:t xml:space="preserve">Support</w:t>
            </w:r>
          </w:p>
        </w:tc>
        <w:tc>
          <w:tcPr>
            <w:tcW w:type="dxa" w:w="2400"/>
            <w:shd w:fill="F2F2F2" w:val="clear"/>
            <w:tcMar>
              <w:top w:type="dxa" w:w="60"/>
              <w:left w:type="dxa" w:w="120"/>
              <w:bottom w:type="dxa" w:w="60"/>
              <w:right w:type="dxa" w:w="120"/>
            </w:tcMar>
          </w:tcPr>
          <w:p>
            <w:pPr>
              <w:spacing w:after="0"/>
            </w:pPr>
            <w:r>
              <w:rPr>
                <w:b w:val="false"/>
                <w:bCs w:val="false"/>
                <w:color w:val="000000"/>
                <w:sz w:val="18"/>
                <w:szCs w:val="18"/>
              </w:rPr>
              <w:t xml:space="preserve">240</w:t>
            </w:r>
          </w:p>
        </w:tc>
      </w:tr>
    </w:tbl>
    <w:p>
      <w:pPr>
        <w:spacing w:after="120" w:line="276"/>
      </w:pPr>
      <w:r>
        <w:t xml:space="preserve">We estimate that our fees for advising on the CMA enquiry through to a Phase 1 decision, on the assumption that the matter does not proceed to a Phase 2 reference, will be in the region of £145,000 to £185,000 plus VAT and disbursements. Disbursements will include the fees of Calderon Economics LLP (estimated at £60,000 to £90,000) and any counsel’s fees. We will keep this estimate under review and notify you promptly if it is likely to be exceeded.</w:t>
      </w:r>
    </w:p>
    <w:p>
      <w:pPr>
        <w:pStyle w:val="Heading2"/>
      </w:pPr>
      <w:r>
        <w:t xml:space="preserve">4. Conflicts and confidentiality</w:t>
      </w:r>
    </w:p>
    <w:p>
      <w:pPr>
        <w:spacing w:after="120" w:line="276"/>
      </w:pPr>
      <w:r>
        <w:t xml:space="preserve">We have carried out a conflict check and are not aware of any conflict of interest that would prevent us from acting for you on this matter. We will treat all information you provide as confidential, subject to our professional obligations. You should be aware that documents and communications created in connection with the CMA review may be subject to disclosure to the CMA under a section 109 notice, and that legal advice privilege and litigation privilege apply in the usual way; we will advise on the handling of privileged material as the matter progresses.</w:t>
      </w:r>
    </w:p>
    <w:p>
      <w:pPr>
        <w:pStyle w:val="Heading2"/>
      </w:pPr>
      <w:r>
        <w:t xml:space="preserve">5. Anti-money laundering and client due diligence</w:t>
      </w:r>
    </w:p>
    <w:p>
      <w:pPr>
        <w:spacing w:after="120" w:line="276"/>
      </w:pPr>
      <w:r>
        <w:t xml:space="preserve">As you are an existing client, our client due diligence is current. We will, however, ask you to confirm the identity of any individuals giving us instructions on this matter and the source of funds for the Transaction where relevant to the competition analysis.</w:t>
      </w:r>
    </w:p>
    <w:p>
      <w:pPr>
        <w:pStyle w:val="Heading2"/>
      </w:pPr>
      <w:r>
        <w:t xml:space="preserve">6. Terms of business</w:t>
      </w:r>
    </w:p>
    <w:p>
      <w:pPr>
        <w:spacing w:after="120" w:line="276"/>
      </w:pPr>
      <w:r>
        <w:t xml:space="preserve">This letter should be read together with our enclosed standard terms of business, which contain important provisions including in relation to limitation of our liability, storage and destruction of files, and termination. In the event of any inconsistency between this letter and the standard terms, this letter prevails.</w:t>
      </w:r>
    </w:p>
    <w:p>
      <w:pPr>
        <w:spacing w:after="120" w:line="276"/>
      </w:pPr>
      <w:r>
        <w:t xml:space="preserve">We are very pleased to be acting for Pennington again following our work on the Crossfield litigation, and we will be in touch shortly with a draft response to the CMA’s initial enquiry letter. Please do not hesitate to call me or James in the meantime.</w:t>
      </w:r>
    </w:p>
    <w:p>
      <w:pPr>
        <w:spacing w:after="120" w:line="276"/>
      </w:pPr>
      <w:r>
        <w:t xml:space="preserve">Yours sincerely</w:t>
      </w:r>
    </w:p>
    <w:p>
      <w:pPr>
        <w:spacing w:after="120" w:line="276"/>
      </w:pPr>
      <w:r>
        <w:t xml:space="preserve"> </w:t>
      </w:r>
    </w:p>
    <w:p>
      <w:pPr>
        <w:spacing w:after="120" w:line="276"/>
      </w:pPr>
      <w:r>
        <w:rPr>
          <w:b/>
          <w:bCs/>
        </w:rPr>
        <w:t xml:space="preserve">Sarah Whitfield</w:t>
      </w:r>
    </w:p>
    <w:p>
      <w:pPr>
        <w:spacing w:after="120" w:line="276"/>
      </w:pPr>
      <w:r>
        <w:t xml:space="preserve">Partner</w:t>
      </w:r>
    </w:p>
    <w:p>
      <w:pPr>
        <w:spacing w:after="120" w:line="276"/>
      </w:pPr>
      <w:r>
        <w:t xml:space="preserve">For and on behalf of Whitfield Carter LLP</w:t>
      </w:r>
    </w:p>
    <w:p>
      <w:pPr>
        <w:spacing w:after="120" w:line="276"/>
      </w:pPr>
      <w:r>
        <w:t xml:space="preserve">sarah.whitfield@whitfieldcarter.com  ·  +44 (0)20 7946 0512</w:t>
      </w:r>
    </w:p>
    <w:p>
      <w:pPr>
        <w:spacing w:after="120" w:line="276"/>
      </w:pPr>
      <w:r>
        <w:t xml:space="preserve"> </w:t>
      </w:r>
    </w:p>
    <w:p>
      <w:pPr>
        <w:spacing w:after="120" w:line="276"/>
      </w:pPr>
      <w:r>
        <w:rPr>
          <w:b/>
          <w:bCs/>
        </w:rPr>
        <w:t xml:space="preserve">Acknowledged and agreed for and on behalf of Pennington Industries Limited:</w:t>
      </w:r>
    </w:p>
    <w:p>
      <w:pPr>
        <w:spacing w:after="120" w:line="276"/>
      </w:pPr>
      <w:r>
        <w:t xml:space="preserve">Signed: ......................................................</w:t>
      </w:r>
    </w:p>
    <w:p>
      <w:pPr>
        <w:spacing w:after="120" w:line="276"/>
      </w:pPr>
      <w:r>
        <w:t xml:space="preserve">Name: Grace Underwood</w:t>
      </w:r>
    </w:p>
    <w:p>
      <w:pPr>
        <w:spacing w:after="120" w:line="276"/>
      </w:pPr>
      <w:r>
        <w:t xml:space="preserve">Title: Group Finance Director</w:t>
      </w:r>
    </w:p>
    <w:p>
      <w:pPr>
        <w:spacing w:after="120" w:line="276"/>
      </w:pPr>
      <w:r>
        <w:t xml:space="preserve">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40" w:before="60"/>
    </w:pPr>
    <w:r>
      <w:rPr>
        <w:color w:val="808080"/>
        <w:sz w:val="13"/>
        <w:szCs w:val="13"/>
      </w:rPr>
      <w:t xml:space="preserve">Whitfield Carter LLP is a limited liability partnership registered in England and Wales (OC418802). A list of members is available at the registered office. Authorised and regulated by the Solicitors Regulation Authority. This communication is confidential and may be legally privileged.</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2026-06-25T13:38:20.356Z</dcterms:created>
  <dcterms:modified xsi:type="dcterms:W3CDTF">2026-06-25T13:38:20.357Z</dcterms:modified>
</cp:coreProperties>
</file>

<file path=docProps/custom.xml><?xml version="1.0" encoding="utf-8"?>
<Properties xmlns="http://schemas.openxmlformats.org/officeDocument/2006/custom-properties" xmlns:vt="http://schemas.openxmlformats.org/officeDocument/2006/docPropsVTypes"/>
</file>