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F3864"/>
          <w:sz w:val="36"/>
          <w:szCs w:val="36"/>
        </w:rPr>
        <w:t xml:space="preserve">MERGER NOTICE AND BRIEFING PAPER</w:t>
      </w:r>
    </w:p>
    <w:p>
      <w:pPr>
        <w:spacing w:after="600"/>
        <w:jc w:val="center"/>
      </w:pPr>
      <w:r>
        <w:rPr>
          <w:sz w:val="24"/>
          <w:szCs w:val="24"/>
        </w:rPr>
        <w:t xml:space="preserve">Submitted to the Competition and Markets Authority</w:t>
      </w:r>
    </w:p>
    <w:p>
      <w:pPr>
        <w:spacing w:after="80"/>
        <w:jc w:val="center"/>
      </w:pPr>
      <w:r>
        <w:rPr>
          <w:b/>
          <w:bCs/>
          <w:sz w:val="26"/>
          <w:szCs w:val="26"/>
        </w:rPr>
        <w:t xml:space="preserve">Acquisition by Pennington Industries Limited</w:t>
      </w:r>
    </w:p>
    <w:p>
      <w:pPr>
        <w:spacing w:after="600"/>
        <w:jc w:val="center"/>
      </w:pPr>
      <w:r>
        <w:rPr>
          <w:b/>
          <w:bCs/>
          <w:sz w:val="26"/>
          <w:szCs w:val="26"/>
        </w:rPr>
        <w:t xml:space="preserve">of Halworth Pump Systems Limited</w:t>
      </w:r>
    </w:p>
    <w:p>
      <w:pPr>
        <w:spacing w:after="80"/>
        <w:jc w:val="center"/>
      </w:pPr>
      <w:r>
        <w:rPr>
          <w:color w:val="595959"/>
          <w:sz w:val="20"/>
          <w:szCs w:val="20"/>
        </w:rPr>
        <w:t xml:space="preserve">Prepared by Whitfield Carter LLP on behalf of Pennington Industries Limited</w:t>
      </w:r>
    </w:p>
    <w:p>
      <w:pPr>
        <w:spacing w:after="80"/>
        <w:jc w:val="center"/>
      </w:pPr>
      <w:r>
        <w:rPr>
          <w:color w:val="C00000"/>
          <w:sz w:val="20"/>
          <w:szCs w:val="20"/>
        </w:rPr>
        <w:t xml:space="preserve">8 December 2025 — STRICTLY CONFIDENTIAL</w:t>
      </w:r>
    </w:p>
    <w:p>
      <w:r>
        <w:br w:type="page"/>
      </w:r>
    </w:p>
    <w:p>
      <w:pPr>
        <w:pStyle w:val="Heading1"/>
      </w:pPr>
      <w:r>
        <w:t xml:space="preserve">Part A — Introduction and summary</w:t>
      </w:r>
    </w:p>
    <w:p>
      <w:pPr>
        <w:spacing w:after="120" w:line="276"/>
      </w:pPr>
      <w:r>
        <w:t xml:space="preserve">A.1   This briefing paper is submitted by Whitfield Carter LLP on behalf of Pennington Industries Limited (“Pennington” or the “Acquirer”) in connection with its acquisition of the entire issued share capital of Halworth Pump Systems Limited (“Halworth” or the “Target”), which completed on 30 September 2025 (the “Transaction”). It responds to the CMA’s enquiry letter of 31 October 2025 and is intended to assist the CMA in reaching a view on jurisdiction and on whether the Transaction gives rise to a realistic prospect of a substantial lessening of competition (“SLC”).</w:t>
      </w:r>
    </w:p>
    <w:p>
      <w:pPr>
        <w:spacing w:after="120" w:line="276"/>
      </w:pPr>
      <w:r>
        <w:t xml:space="preserve">A.2   Pennington’s position, developed in this paper, is that the Transaction does not give rise to a realistic prospect of an SLC in any plausible frame of reference. The merged entity continues to face strong competition from a range of well-resourced UK and international suppliers, customers are large and sophisticated water utilities and Tier 1 contractors with substantial buyer power, and the evidence does not support a unilateral-effects concern. Pennington accepts that the CMA is likely to have jurisdiction on the share-of-supply test and does not contest jurisdiction.</w:t>
      </w:r>
    </w:p>
    <w:p>
      <w:pPr>
        <w:spacing w:after="120" w:line="276"/>
      </w:pPr>
      <w:r>
        <w:t xml:space="preserve">A.3   Pennington has acquired Halworth as part of a long-standing strategy of consolidating UK fluid-handling capability and investing in its Birmingham and Sheffield manufacturing base. The rationale is principally to broaden Pennington’s product range into submersible drainage and municipal-water applications and to secure skilled engineering capacity, not to remove a competitive constraint.</w:t>
      </w:r>
    </w:p>
    <w:p>
      <w:pPr>
        <w:pStyle w:val="Heading1"/>
      </w:pPr>
      <w:r>
        <w:t xml:space="preserve">Part B — The parties</w:t>
      </w:r>
    </w:p>
    <w:p>
      <w:pPr>
        <w:pStyle w:val="Heading2"/>
      </w:pPr>
      <w:r>
        <w:t xml:space="preserve">B.1 Pennington Industries Limited</w:t>
      </w:r>
    </w:p>
    <w:p>
      <w:pPr>
        <w:spacing w:after="120" w:line="276"/>
      </w:pPr>
      <w:r>
        <w:t xml:space="preserve">Pennington is a privately owned UK manufacturer of industrial pumps, valves and fluid-handling equipment, headquartered in Birmingham with a second manufacturing site in Sheffield. In FY24 it had UK turnover of approximately £118 million and employed c. 540 staff. Its principal products are end-suction and multistage centrifugal pumps and process pumps supplied to industrial, chemical, food-and-beverage and general manufacturing customers, together with associated valves and spares. Pennington’s presence in the municipal water sector is modest.</w:t>
      </w:r>
    </w:p>
    <w:p>
      <w:pPr>
        <w:pStyle w:val="Heading2"/>
      </w:pPr>
      <w:r>
        <w:t xml:space="preserve">B.2 Halworth Pump Systems Limited</w:t>
      </w:r>
    </w:p>
    <w:p>
      <w:pPr>
        <w:spacing w:after="120" w:line="276"/>
      </w:pPr>
      <w:r>
        <w:t xml:space="preserve">Halworth is a specialist manufacturer of centrifugal and submersible pumps based in Stoke-on-Trent. In FY24 it had UK turnover of approximately £24.6 million and employed c. 160 staff. Halworth’s strongest position is in the municipal water and wastewater sector, where its “Aqualis” range of centrifugal and submersible drainage pumps is supplied to regional water companies and their framework contractors. Halworth has limited presence in general industrial process pumps.</w:t>
      </w:r>
    </w:p>
    <w:p>
      <w:pPr>
        <w:pStyle w:val="Heading1"/>
      </w:pPr>
      <w:r>
        <w:t xml:space="preserve">Part C — The Transaction and rationale</w:t>
      </w:r>
    </w:p>
    <w:p>
      <w:pPr>
        <w:spacing w:after="120" w:line="276"/>
      </w:pPr>
      <w:r>
        <w:t xml:space="preserve">C.1   The Transaction was a share purchase completed on 30 September 2025 for a cash consideration of £19.5 million (enterprise value of c. £21.0 million). Halworth is now a wholly-owned subsidiary of Pennington. The two enterprises have ceased to be distinct within the meaning of section 26 of the Enterprise Act 2002.</w:t>
      </w:r>
    </w:p>
    <w:p>
      <w:pPr>
        <w:spacing w:after="120" w:line="276"/>
      </w:pPr>
      <w:r>
        <w:t xml:space="preserve">C.2   The commercial rationale for the Transaction is to extend Pennington’s product portfolio into submersible drainage and municipal-water applications, to acquire skilled engineering and applications capability, and to achieve manufacturing and procurement efficiencies across the enlarged group. Pennington intends to invest in Halworth’s Stoke facility and to expand, rather than reduce, its output.</w:t>
      </w:r>
    </w:p>
    <w:p>
      <w:pPr>
        <w:pStyle w:val="Heading1"/>
      </w:pPr>
      <w:r>
        <w:t xml:space="preserve">Part D — Jurisdiction</w:t>
      </w:r>
    </w:p>
    <w:p>
      <w:pPr>
        <w:spacing w:after="120" w:line="276"/>
      </w:pPr>
      <w:r>
        <w:t xml:space="preserve">D.1   Pennington accepts that a relevant merger situation is likely to arise. The £70 million turnover test is not met (Halworth’s UK turnover being c. £24.6m). However, on certain narrower descriptions of centrifugal/submersible pumps supplied to the UK water sector, the parties’ combined share of supply exceeds 25% with an increment, so the share-of-supply test in section 23(3)–(4) of the Act may be satisfied. Pennington does not contest jurisdiction and has provided share estimates in Annex 2.</w:t>
      </w:r>
    </w:p>
    <w:p>
      <w:pPr>
        <w:pStyle w:val="Heading1"/>
      </w:pPr>
      <w:r>
        <w:t xml:space="preserve">Part E — Market context and product frames</w:t>
      </w:r>
    </w:p>
    <w:p>
      <w:pPr>
        <w:pStyle w:val="Heading2"/>
      </w:pPr>
      <w:r>
        <w:t xml:space="preserve">E.1 Industry overview</w:t>
      </w:r>
    </w:p>
    <w:p>
      <w:pPr>
        <w:spacing w:after="120" w:line="276"/>
      </w:pPr>
      <w:r>
        <w:t xml:space="preserve">Pumps are supplied across a wide range of end-uses. The relevant supply chain comprises global OEMs (Grundfos, Xylem/Flygt, KSB, Sulzer, Wilo, Ebara), specialist UK manufacturers (including the parties) and a layer of distributors and systems integrators. UK water utilities procure pumps through multi-year framework agreements aligned to the regulatory asset-management periods (AMP cycles) overseen by Ofwat, typically buying directly or through Tier 1 capital-delivery contractors.</w:t>
      </w:r>
    </w:p>
    <w:p>
      <w:pPr>
        <w:pStyle w:val="Heading2"/>
      </w:pPr>
      <w:r>
        <w:t xml:space="preserve">E.2 Candidate product frames</w:t>
      </w:r>
    </w:p>
    <w:p>
      <w:pPr>
        <w:spacing w:after="120" w:line="276"/>
      </w:pPr>
      <w:r>
        <w:t xml:space="preserve">Pennington submits that the appropriate frame of reference for the competitive assessment is the supply of centrifugal pumps across end-uses, within which suppliers can readily reposition between industrial and water applications given common engineering standards (EN 733, ISO 2858, ISO 5199). The CMA’s share-of-supply jurisdictional frames (narrower water-sector descriptions) should not be confused with the frame for the substantive assessment, which the evidence shows is broader.</w:t>
      </w:r>
    </w:p>
    <w:p>
      <w:pPr>
        <w:pStyle w:val="Heading1"/>
      </w:pPr>
      <w:r>
        <w:t xml:space="preserve">Part F — Competitive assessment</w:t>
      </w:r>
    </w:p>
    <w:p>
      <w:pPr>
        <w:pStyle w:val="Heading2"/>
      </w:pPr>
      <w:r>
        <w:t xml:space="preserve">F.1 Horizontal unilateral effects</w:t>
      </w:r>
    </w:p>
    <w:p>
      <w:pPr>
        <w:spacing w:after="120" w:line="276"/>
      </w:pPr>
      <w:r>
        <w:t xml:space="preserve">F.1.1   On the broad centrifugal-pump frame, the combined share is c. 22% with numerous strong competitors; there is no realistic prospect of an SLC. On the narrower municipal-water frame the combined share is higher (c. 36%), but the bidding evidence demonstrates that the parties are not each other’s closest competitor across the great majority of tenders, and that global OEMs win a substantial share of UK water-utility work.</w:t>
      </w:r>
    </w:p>
    <w:p>
      <w:pPr>
        <w:spacing w:after="120" w:line="276"/>
      </w:pPr>
      <w:r>
        <w:t xml:space="preserve">F.1.2   The bidding analysis prepared by Calderon Economics (Annex 3) shows that, over 2022–2025, Pennington and Halworth were the two lowest-priced bidders in only a small minority of relevant tenders, and that in most water-sector tenders at least three of Grundfos, Xylem, KSB and Sulzer also bid. Diversion between the parties is therefore limited and the loss of competition from the Transaction is modest.</w:t>
      </w:r>
    </w:p>
    <w:p>
      <w:pPr>
        <w:pStyle w:val="Heading2"/>
      </w:pPr>
      <w:r>
        <w:t xml:space="preserve">F.2 Countervailing factors</w:t>
      </w:r>
    </w:p>
    <w:p>
      <w:pPr>
        <w:pStyle w:val="ListParagraph"/>
        <w:numPr>
          <w:ilvl w:val="0"/>
          <w:numId w:val="2"/>
        </w:numPr>
        <w:spacing w:after="80"/>
      </w:pPr>
      <w:r>
        <w:t xml:space="preserve">Strong and well-resourced competitors remain in every relevant frame, including global OEMs with significant UK installed bases and service networks.</w:t>
      </w:r>
    </w:p>
    <w:p>
      <w:pPr>
        <w:pStyle w:val="ListParagraph"/>
        <w:numPr>
          <w:ilvl w:val="0"/>
          <w:numId w:val="2"/>
        </w:numPr>
        <w:spacing w:after="80"/>
      </w:pPr>
      <w:r>
        <w:t xml:space="preserve">Customers are sophisticated water companies and Tier 1 contractors with structured procurement, second-sourcing policies and the ability to sponsor entry.</w:t>
      </w:r>
    </w:p>
    <w:p>
      <w:pPr>
        <w:pStyle w:val="ListParagraph"/>
        <w:numPr>
          <w:ilvl w:val="0"/>
          <w:numId w:val="2"/>
        </w:numPr>
        <w:spacing w:after="80"/>
      </w:pPr>
      <w:r>
        <w:t xml:space="preserve">Barriers to entry and repositioning are low for established centrifugal-pump manufacturers, given open product standards and the availability of distribution.</w:t>
      </w:r>
    </w:p>
    <w:p>
      <w:pPr>
        <w:pStyle w:val="Heading2"/>
      </w:pPr>
      <w:r>
        <w:t xml:space="preserve">F.3 Conclusion on the substance</w:t>
      </w:r>
    </w:p>
    <w:p>
      <w:pPr>
        <w:spacing w:after="120" w:line="276"/>
      </w:pPr>
      <w:r>
        <w:t xml:space="preserve">F.3.1   The Transaction does not give rise to a realistic prospect of an SLC. To the extent the CMA has a residual concern confined to a narrow segment of municipal-water pumps, Pennington stands ready to discuss a proportionate remedy at Phase 1 rather than a reference (see Part G).</w:t>
      </w:r>
    </w:p>
    <w:p>
      <w:pPr>
        <w:pStyle w:val="Heading1"/>
      </w:pPr>
      <w:r>
        <w:t xml:space="preserve">Part G — Remedies (without prejudice)</w:t>
      </w:r>
    </w:p>
    <w:p>
      <w:pPr>
        <w:spacing w:after="120" w:line="276"/>
      </w:pPr>
      <w:r>
        <w:t xml:space="preserve">G.1   Strictly without prejudice to its primary case that there is no SLC, and to assist the CMA in resolving any residual concern at Phase 1, Pennington indicates that it would be willing to discuss undertakings in lieu of reference under section 73 of the Act. A clear-cut structural remedy is available, namely the divestment of Halworth’s municipal-water centrifugal and submersible pump line (the Aqualis range), together with associated AMP framework contracts, designated assets and personnel, to a suitable independent purchaser approved by the CMA. Pennington considers that such a divestment would comprehensively address any plausible water-sector concern while preserving the broader industrial rationale of the Transaction.</w:t>
      </w:r>
    </w:p>
    <w:p>
      <w:pPr>
        <w:pStyle w:val="Heading1"/>
      </w:pPr>
      <w:r>
        <w:t xml:space="preserve">Part H — Conclusion and annexes</w:t>
      </w:r>
    </w:p>
    <w:p>
      <w:pPr>
        <w:spacing w:after="120" w:line="276"/>
      </w:pPr>
      <w:r>
        <w:t xml:space="preserve">H.1   For the reasons set out above, Pennington submits that the CMA should be able to conclude that the Transaction does not give rise to a realistic prospect of an SLC, or alternatively that any residual concern can be resolved by undertakings in lieu under section 73. Pennington and its advisers are ready to engage constructively with the CMA case team and to respond promptly to information requests.</w:t>
      </w:r>
    </w:p>
    <w:p>
      <w:pPr>
        <w:spacing w:after="120" w:line="276"/>
      </w:pPr>
      <w:r>
        <w:t xml:space="preserve">The following annexes accompany this paper:</w:t>
      </w:r>
    </w:p>
    <w:p>
      <w:pPr>
        <w:pStyle w:val="ListParagraph"/>
        <w:numPr>
          <w:ilvl w:val="0"/>
          <w:numId w:val="2"/>
        </w:numPr>
        <w:spacing w:after="80"/>
      </w:pPr>
      <w:r>
        <w:t xml:space="preserve">Annex 1 — Corporate structure charts for Pennington and Halworth</w:t>
      </w:r>
    </w:p>
    <w:p>
      <w:pPr>
        <w:pStyle w:val="ListParagraph"/>
        <w:numPr>
          <w:ilvl w:val="0"/>
          <w:numId w:val="2"/>
        </w:numPr>
        <w:spacing w:after="80"/>
      </w:pPr>
      <w:r>
        <w:t xml:space="preserve">Annex 2 — Share-of-supply estimates and methodology</w:t>
      </w:r>
    </w:p>
    <w:p>
      <w:pPr>
        <w:pStyle w:val="ListParagraph"/>
        <w:numPr>
          <w:ilvl w:val="0"/>
          <w:numId w:val="2"/>
        </w:numPr>
        <w:spacing w:after="80"/>
      </w:pPr>
      <w:r>
        <w:t xml:space="preserve">Annex 3 — Calderon Economics bidding and diversion analysis</w:t>
      </w:r>
    </w:p>
    <w:p>
      <w:pPr>
        <w:pStyle w:val="ListParagraph"/>
        <w:numPr>
          <w:ilvl w:val="0"/>
          <w:numId w:val="2"/>
        </w:numPr>
        <w:spacing w:after="80"/>
      </w:pPr>
      <w:r>
        <w:t xml:space="preserve">Annex 4 — Sample customer contact list (water companies and Tier 1 contractors)</w:t>
      </w:r>
    </w:p>
    <w:p>
      <w:pPr>
        <w:pStyle w:val="ListParagraph"/>
        <w:numPr>
          <w:ilvl w:val="0"/>
          <w:numId w:val="2"/>
        </w:numPr>
        <w:spacing w:after="80"/>
      </w:pPr>
      <w:r>
        <w:t xml:space="preserve">Annex 5 — Internal acquisition rationale board paper (extract)</w:t>
      </w:r>
    </w:p>
    <w:p>
      <w:pPr>
        <w:spacing w:after="120" w:line="276"/>
      </w:pPr>
      <w:r>
        <w:t xml:space="preserve"/>
      </w:r>
    </w:p>
    <w:p>
      <w:pPr>
        <w:spacing w:after="120" w:line="276"/>
      </w:pPr>
      <w:r>
        <w:rPr>
          <w:b/>
          <w:bCs/>
        </w:rPr>
        <w:t xml:space="preserve">Whitfield Carter LLP</w:t>
      </w:r>
    </w:p>
    <w:p>
      <w:pPr>
        <w:spacing w:after="120" w:line="276"/>
      </w:pPr>
      <w:r>
        <w:t xml:space="preserve">22 Bishopsgate, London EC2N 4BQ  ·  8 December 2025  ·  Ref: SW/JO/WC-00117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40" w:before="60"/>
    </w:pPr>
    <w:r>
      <w:rPr>
        <w:color w:val="808080"/>
        <w:sz w:val="13"/>
        <w:szCs w:val="13"/>
      </w:rPr>
      <w:t xml:space="preserve">Whitfield Carter LLP is a limited liability partnership registered in England and Wales (OC418802). A list of members is available at the registered office. Authorised and regulated by the Solicitors Regulation Authority. This communication is confidential and may be legally privileged.</w:t>
    </w:r>
  </w:p>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2026-06-25T13:38:20.577Z</dcterms:created>
  <dcterms:modified xsi:type="dcterms:W3CDTF">2026-06-25T13:38:20.577Z</dcterms:modified>
</cp:coreProperties>
</file>

<file path=docProps/custom.xml><?xml version="1.0" encoding="utf-8"?>
<Properties xmlns="http://schemas.openxmlformats.org/officeDocument/2006/custom-properties" xmlns:vt="http://schemas.openxmlformats.org/officeDocument/2006/docPropsVTypes"/>
</file>