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DATED 22 MAY 2026</w:t>
      </w:r>
    </w:p>
    <w:p>
      <w:pPr>
        <w:spacing w:after="120"/>
      </w:pPr>
      <w:r>
        <w:rPr>
          <w:b w:val="0"/>
          <w:i w:val="0"/>
        </w:rPr>
      </w:r>
    </w:p>
    <w:p>
      <w:pPr>
        <w:spacing w:after="120"/>
        <w:jc w:val="center"/>
      </w:pPr>
      <w:r>
        <w:rPr>
          <w:b/>
          <w:i w:val="0"/>
        </w:rPr>
        <w:t>(1)  PENNINGTON INDUSTRIES LIMITED</w:t>
      </w:r>
    </w:p>
    <w:p>
      <w:pPr>
        <w:spacing w:after="120"/>
        <w:jc w:val="center"/>
      </w:pPr>
      <w:r>
        <w:rPr>
          <w:b/>
          <w:i w:val="0"/>
        </w:rPr>
        <w:t>(2)  THE GUARANTORS</w:t>
      </w:r>
    </w:p>
    <w:p>
      <w:pPr>
        <w:spacing w:after="120"/>
        <w:jc w:val="center"/>
      </w:pPr>
      <w:r>
        <w:rPr>
          <w:b/>
          <w:i w:val="0"/>
        </w:rPr>
        <w:t>(3)  CALDERBANK MERCANTILE BANK PLC</w:t>
      </w:r>
    </w:p>
    <w:p>
      <w:pPr>
        <w:spacing w:after="120"/>
        <w:jc w:val="center"/>
      </w:pPr>
      <w:r>
        <w:rPr>
          <w:b w:val="0"/>
          <w:i w:val="0"/>
          <w:sz w:val="18"/>
        </w:rPr>
        <w:t>(as Lender, Agent and Security Trustee)</w:t>
      </w:r>
    </w:p>
    <w:p>
      <w:pPr>
        <w:spacing w:after="120"/>
        <w:jc w:val="center"/>
      </w:pPr>
      <w:r>
        <w:rPr>
          <w:b w:val="0"/>
          <w:i w:val="0"/>
        </w:rPr>
        <w:t>_______________________________________________</w:t>
      </w:r>
    </w:p>
    <w:p>
      <w:pPr>
        <w:spacing w:after="120"/>
        <w:jc w:val="center"/>
      </w:pPr>
      <w:r>
        <w:rPr>
          <w:b/>
          <w:i w:val="0"/>
          <w:sz w:val="32"/>
        </w:rPr>
        <w:t>AMENDMENT AND RESTATEMENT AGREEMENT</w:t>
      </w:r>
    </w:p>
    <w:p>
      <w:pPr>
        <w:spacing w:after="120"/>
        <w:jc w:val="center"/>
      </w:pPr>
      <w:r>
        <w:rPr>
          <w:b w:val="0"/>
          <w:i w:val="0"/>
          <w:sz w:val="20"/>
        </w:rPr>
        <w:t>relating to a senior facilities agreement dated 19 March 2023</w:t>
      </w:r>
    </w:p>
    <w:p>
      <w:pPr>
        <w:spacing w:after="120"/>
        <w:jc w:val="center"/>
      </w:pPr>
      <w:r>
        <w:rPr>
          <w:b w:val="0"/>
          <w:i w:val="0"/>
        </w:rPr>
        <w:t>_______________________________________________</w:t>
      </w:r>
    </w:p>
    <w:p>
      <w:pPr>
        <w:spacing w:after="120"/>
        <w:jc w:val="center"/>
      </w:pPr>
      <w:r>
        <w:rPr>
          <w:b w:val="0"/>
          <w:i/>
          <w:sz w:val="18"/>
        </w:rPr>
        <w:t>Execution version</w:t>
      </w:r>
    </w:p>
    <w:p>
      <w:pPr>
        <w:spacing w:after="120"/>
        <w:jc w:val="center"/>
      </w:pPr>
      <w:r>
        <w:rPr>
          <w:b w:val="0"/>
          <w:i w:val="0"/>
          <w:sz w:val="16"/>
        </w:rPr>
        <w:t>Whitfield Carter LLP, 22 Bishopsgate, London EC2N 4BQ</w:t>
      </w:r>
    </w:p>
    <w:p>
      <w:r>
        <w:br w:type="page"/>
      </w:r>
    </w:p>
    <w:p>
      <w:pPr>
        <w:pStyle w:val="Heading1"/>
      </w:pPr>
      <w:r>
        <w:t>THIS AGREEMENT is made on 22 May 2026</w:t>
      </w:r>
    </w:p>
    <w:p>
      <w:pPr>
        <w:spacing w:after="120"/>
      </w:pPr>
      <w:r>
        <w:rPr>
          <w:b w:val="0"/>
          <w:i w:val="0"/>
        </w:rPr>
        <w:t>BETWEEN the parties listed in Schedule 1 (The Parties).</w:t>
      </w:r>
    </w:p>
    <w:p>
      <w:pPr>
        <w:spacing w:after="120"/>
      </w:pPr>
      <w:r>
        <w:rPr>
          <w:b/>
          <w:i w:val="0"/>
        </w:rPr>
        <w:t>BACKGROUND:</w:t>
      </w:r>
    </w:p>
    <w:p>
      <w:pPr>
        <w:spacing w:after="120"/>
      </w:pPr>
      <w:r>
        <w:rPr>
          <w:b w:val="0"/>
          <w:i w:val="0"/>
        </w:rPr>
        <w:t>(A)  The parties entered into the Facilities Agreement dated 19 March 2023 (as amended). Following covenant breaches at the December 2025 test date the parties entered into a standstill and waiver agreement dated 6 March 2026.</w:t>
      </w:r>
    </w:p>
    <w:p>
      <w:pPr>
        <w:spacing w:after="120"/>
      </w:pPr>
      <w:r>
        <w:rPr>
          <w:b w:val="0"/>
          <w:i w:val="0"/>
        </w:rPr>
        <w:t>(B)  The parties have agreed to amend and restate the Facilities Agreement on the terms set out in this Agreement, including the provision of a new super-senior facility, a revised margin and an amended financial covenant package.</w:t>
      </w:r>
    </w:p>
    <w:p>
      <w:pPr>
        <w:spacing w:after="120"/>
      </w:pPr>
      <w:r>
        <w:rPr>
          <w:b/>
          <w:i w:val="0"/>
        </w:rPr>
        <w:t>IT IS AGREED as follows:</w:t>
      </w:r>
    </w:p>
    <w:p>
      <w:pPr>
        <w:spacing w:before="160"/>
      </w:pPr>
      <w:r>
        <w:rPr>
          <w:b/>
        </w:rPr>
        <w:t>1.</w:t>
        <w:tab/>
      </w:r>
      <w:r>
        <w:rPr>
          <w:b/>
        </w:rPr>
        <w:t>DEFINITIONS AND INTERPRETATION</w:t>
      </w:r>
    </w:p>
    <w:p>
      <w:pPr>
        <w:spacing w:after="120"/>
        <w:ind w:left="720"/>
      </w:pPr>
      <w:r>
        <w:t>In this Agreement, capitalised terms have the meanings given to them in the Facilities Agreement unless otherwise defined. "Effective Date" means the date on which the Agent confirms that each condition precedent in Schedule 2 has been satisfied or waived. "Restated Facilities Agreement" means the Facilities Agreement as amended and restated in the form set out in Schedule 3.</w:t>
      </w:r>
    </w:p>
    <w:p>
      <w:pPr>
        <w:spacing w:before="160"/>
      </w:pPr>
      <w:r>
        <w:rPr>
          <w:b/>
        </w:rPr>
        <w:t>2.</w:t>
        <w:tab/>
      </w:r>
      <w:r>
        <w:rPr>
          <w:b/>
        </w:rPr>
        <w:t>AMENDMENT AND RESTATEMENT</w:t>
      </w:r>
    </w:p>
    <w:p>
      <w:pPr>
        <w:spacing w:after="120"/>
        <w:ind w:left="720"/>
      </w:pPr>
      <w:r>
        <w:t>With effect from the Effective Date, the Facilities Agreement is amended and restated so that it reads in the form set out in Schedule 3 (Restated Facilities Agreement).</w:t>
      </w:r>
    </w:p>
    <w:p>
      <w:pPr>
        <w:spacing w:after="120"/>
        <w:ind w:left="720"/>
      </w:pPr>
      <w:r>
        <w:t>The principal amendments are: (a) the introduction of a new committed super-senior term facility of £4.0 million; (b) an increase in the margin on the existing facilities from 300 to 425 basis points per annum over SONIA, and a margin of 650 basis points per annum on the super-senior facility; (c) the re-setting of the financial covenants on a stepped basis by reference to the revised business plan, with monthly minimum-liquidity and 13-week cash flow covenants; and (d) enhanced information undertakings.</w:t>
      </w:r>
    </w:p>
    <w:p>
      <w:pPr>
        <w:spacing w:before="160"/>
      </w:pPr>
      <w:r>
        <w:rPr>
          <w:b/>
        </w:rPr>
        <w:t>3.</w:t>
        <w:tab/>
      </w:r>
      <w:r>
        <w:rPr>
          <w:b/>
        </w:rPr>
        <w:t>NEW SUPER-SENIOR FACILITY</w:t>
      </w:r>
    </w:p>
    <w:p>
      <w:pPr>
        <w:spacing w:after="120"/>
        <w:ind w:left="720"/>
      </w:pPr>
      <w:r>
        <w:t>The Lender makes available to the Borrower a committed super-senior term facility in an aggregate amount of £4.0 million, to be applied towards the working capital requirements of the Group identified in the revised business plan. The super-senior facility ranks ahead of the existing facilities as to the proceeds of enforcement of the Security in accordance with the Intercreditor Agreement.</w:t>
      </w:r>
    </w:p>
    <w:p>
      <w:pPr>
        <w:spacing w:before="160"/>
      </w:pPr>
      <w:r>
        <w:rPr>
          <w:b/>
        </w:rPr>
        <w:t>4.</w:t>
        <w:tab/>
      </w:r>
      <w:r>
        <w:rPr>
          <w:b/>
        </w:rPr>
        <w:t>AMENDMENT FEE</w:t>
      </w:r>
    </w:p>
    <w:p>
      <w:pPr>
        <w:spacing w:after="120"/>
        <w:ind w:left="720"/>
      </w:pPr>
      <w:r>
        <w:t>The Borrower shall pay to the Agent an amendment fee of 75 basis points on total commitments, payable on the Effective Date, which fee is non-refundable.</w:t>
      </w:r>
    </w:p>
    <w:p>
      <w:pPr>
        <w:spacing w:before="160"/>
      </w:pPr>
      <w:r>
        <w:rPr>
          <w:b/>
        </w:rPr>
        <w:t>5.</w:t>
        <w:tab/>
      </w:r>
      <w:r>
        <w:rPr>
          <w:b/>
        </w:rPr>
        <w:t>CONDITIONS PRECEDENT</w:t>
      </w:r>
    </w:p>
    <w:p>
      <w:pPr>
        <w:spacing w:after="120"/>
        <w:ind w:left="720"/>
      </w:pPr>
      <w:r>
        <w:t>The amendment and restatement is subject to the satisfaction of the conditions precedent set out in Schedule 2 (Conditions Precedent), including board and shareholder approvals, the security confirmation deed, the Intercreditor Agreement, refreshed legal opinions, the final IBR and payment of fees and costs.</w:t>
      </w:r>
    </w:p>
    <w:p>
      <w:pPr>
        <w:spacing w:before="160"/>
      </w:pPr>
      <w:r>
        <w:rPr>
          <w:b/>
        </w:rPr>
        <w:t>6.</w:t>
        <w:tab/>
      </w:r>
      <w:r>
        <w:rPr>
          <w:b/>
        </w:rPr>
        <w:t>REPRESENTATIONS</w:t>
      </w:r>
    </w:p>
    <w:p>
      <w:pPr>
        <w:spacing w:after="120"/>
        <w:ind w:left="720"/>
      </w:pPr>
      <w:r>
        <w:t>Each Obligor makes the Repeating Representations by reference to the facts existing on the date of this Agreement and on the Effective Date, and represents that it has the power and authority to enter into and perform this Agreement.</w:t>
      </w:r>
    </w:p>
    <w:p>
      <w:pPr>
        <w:spacing w:before="160"/>
      </w:pPr>
      <w:r>
        <w:rPr>
          <w:b/>
        </w:rPr>
        <w:t>7.</w:t>
        <w:tab/>
      </w:r>
      <w:r>
        <w:rPr>
          <w:b/>
        </w:rPr>
        <w:t>CONFIRMATION OF SECURITY AND GUARANTEES</w:t>
      </w:r>
    </w:p>
    <w:p>
      <w:pPr>
        <w:spacing w:after="120"/>
        <w:ind w:left="720"/>
      </w:pPr>
      <w:r>
        <w:t>Each Obligor confirms that the Security and the guarantees under the Composite Guarantee and Indemnity extend to the obligations of the Obligors under the Restated Facilities Agreement (including the new super-senior facility) and remain in full force and effect, and shall enter into the security confirmation deed referred to in Schedule 2.</w:t>
      </w:r>
    </w:p>
    <w:p>
      <w:pPr>
        <w:spacing w:before="160"/>
      </w:pPr>
      <w:r>
        <w:rPr>
          <w:b/>
        </w:rPr>
        <w:t>8.</w:t>
        <w:tab/>
      </w:r>
      <w:r>
        <w:rPr>
          <w:b/>
        </w:rPr>
        <w:t>CONTINUING EFFECT</w:t>
      </w:r>
    </w:p>
    <w:p>
      <w:pPr>
        <w:spacing w:after="120"/>
        <w:ind w:left="720"/>
      </w:pPr>
      <w:r>
        <w:t>Save as amended by this Agreement, the Facilities Agreement and the other Finance Documents remain in full force and effect. This Agreement is a Finance Document.</w:t>
      </w:r>
    </w:p>
    <w:p>
      <w:pPr>
        <w:spacing w:before="160"/>
      </w:pPr>
      <w:r>
        <w:rPr>
          <w:b/>
        </w:rPr>
        <w:t>9.</w:t>
        <w:tab/>
      </w:r>
      <w:r>
        <w:rPr>
          <w:b/>
        </w:rPr>
        <w:t>COSTS</w:t>
      </w:r>
    </w:p>
    <w:p>
      <w:pPr>
        <w:spacing w:after="120"/>
        <w:ind w:left="720"/>
      </w:pPr>
      <w:r>
        <w:t>The Borrower shall pay the Agent's and Lender's costs and expenses (including legal fees) in connection with this Agreement in accordance with clause 17 of the Facilities Agreement.</w:t>
      </w:r>
    </w:p>
    <w:p>
      <w:pPr>
        <w:spacing w:before="160"/>
      </w:pPr>
      <w:r>
        <w:rPr>
          <w:b/>
        </w:rPr>
        <w:t>10.</w:t>
        <w:tab/>
      </w:r>
      <w:r>
        <w:rPr>
          <w:b/>
        </w:rPr>
        <w:t>MISCELLANEOUS</w:t>
      </w:r>
    </w:p>
    <w:p>
      <w:pPr>
        <w:spacing w:after="120"/>
        <w:ind w:left="720"/>
      </w:pPr>
      <w:r>
        <w:t>This Agreement may be executed in counterparts. A person who is not a party has no rights under the Contracts (Rights of Third Parties) Act 1999. This Agreement and any non-contractual obligations arising out of it are governed by English law, and the courts of England and Wales have exclusive jurisdiction.</w:t>
      </w:r>
    </w:p>
    <w:p>
      <w:r>
        <w:br w:type="page"/>
      </w:r>
    </w:p>
    <w:p>
      <w:pPr>
        <w:spacing w:after="120"/>
        <w:jc w:val="center"/>
      </w:pPr>
      <w:r>
        <w:rPr>
          <w:b/>
          <w:i w:val="0"/>
        </w:rPr>
        <w:t>SCHEDULE 1 – THE PARTIES</w:t>
      </w:r>
    </w:p>
    <w:p>
      <w:r>
        <w:t>(1)  Pennington Industries Limited (Borrower) – company number 02981145</w:t>
      </w:r>
    </w:p>
    <w:p>
      <w:r>
        <w:t>(2)  Pennington Pumps Limited (Guarantor) – company number 03442190</w:t>
      </w:r>
    </w:p>
    <w:p>
      <w:r>
        <w:t>(3)  Pennington Fluid Systems Limited (Guarantor) – company number 04118827</w:t>
      </w:r>
    </w:p>
    <w:p>
      <w:r>
        <w:t>(4)  Calderbank Mercantile Bank plc (Lender, Agent and Security Trustee) – company number 01998742</w:t>
      </w:r>
    </w:p>
    <w:p>
      <w:pPr>
        <w:spacing w:after="120"/>
      </w:pPr>
      <w:r>
        <w:rPr>
          <w:b w:val="0"/>
          <w:i w:val="0"/>
        </w:rPr>
      </w:r>
    </w:p>
    <w:p>
      <w:pPr>
        <w:spacing w:after="120"/>
        <w:jc w:val="center"/>
      </w:pPr>
      <w:r>
        <w:rPr>
          <w:b/>
          <w:i w:val="0"/>
        </w:rPr>
        <w:t>SCHEDULE 2 – CONDITIONS PRECEDENT</w:t>
      </w:r>
    </w:p>
    <w:p>
      <w:pPr>
        <w:pStyle w:val="ListBullet"/>
      </w:pPr>
      <w:r>
        <w:t>Certified board and (where required) shareholder resolutions of each Obligor.</w:t>
      </w:r>
    </w:p>
    <w:p>
      <w:pPr>
        <w:pStyle w:val="ListBullet"/>
      </w:pPr>
      <w:r>
        <w:t>The security confirmation deed duly executed by each Obligor.</w:t>
      </w:r>
    </w:p>
    <w:p>
      <w:pPr>
        <w:pStyle w:val="ListBullet"/>
      </w:pPr>
      <w:r>
        <w:t>The Intercreditor Agreement duly executed by all parties.</w:t>
      </w:r>
    </w:p>
    <w:p>
      <w:pPr>
        <w:pStyle w:val="ListBullet"/>
      </w:pPr>
      <w:r>
        <w:t>Legal opinions on capacity, authority and enforceability addressed to the Agent.</w:t>
      </w:r>
    </w:p>
    <w:p>
      <w:pPr>
        <w:pStyle w:val="ListBullet"/>
      </w:pPr>
      <w:r>
        <w:t>The final Independent Business Review addressed to the Agent.</w:t>
      </w:r>
    </w:p>
    <w:p>
      <w:pPr>
        <w:pStyle w:val="ListBullet"/>
      </w:pPr>
      <w:r>
        <w:t>Evidence of payment of the amendment fee and the Agent's costs.</w:t>
      </w:r>
    </w:p>
    <w:p>
      <w:pPr>
        <w:pStyle w:val="ListBullet"/>
      </w:pPr>
      <w:r>
        <w:t>The revised business plan and opening 13-week cash flow forecast.</w:t>
      </w:r>
    </w:p>
    <w:p>
      <w:pPr>
        <w:spacing w:after="120"/>
      </w:pPr>
      <w:r>
        <w:rPr>
          <w:b w:val="0"/>
          <w:i w:val="0"/>
        </w:rPr>
      </w:r>
    </w:p>
    <w:p>
      <w:pPr>
        <w:spacing w:after="120"/>
        <w:jc w:val="center"/>
      </w:pPr>
      <w:r>
        <w:rPr>
          <w:b/>
          <w:i w:val="0"/>
        </w:rPr>
        <w:t>SCHEDULE 3 – RESTATED FACILITIES AGREEMENT</w:t>
      </w:r>
    </w:p>
    <w:p>
      <w:pPr>
        <w:spacing w:after="120"/>
      </w:pPr>
      <w:r>
        <w:rPr>
          <w:b w:val="0"/>
          <w:i/>
        </w:rPr>
        <w:t>[The form of the amended and restated facilities agreement is attached. The conformed restatement incorporates the amendments set out in clause 2 and is not reproduced in full in this execution copy of the amendment agreement.]</w:t>
      </w:r>
    </w:p>
    <w:p>
      <w:r>
        <w:br w:type="page"/>
      </w:r>
    </w:p>
    <w:p>
      <w:pPr>
        <w:spacing w:after="120"/>
        <w:jc w:val="center"/>
      </w:pPr>
      <w:r>
        <w:rPr>
          <w:b/>
          <w:i w:val="0"/>
        </w:rPr>
        <w:t>EXECUTION</w:t>
      </w:r>
    </w:p>
    <w:p>
      <w:pPr>
        <w:spacing w:before="240"/>
      </w:pPr>
      <w:r>
        <w:rPr>
          <w:b/>
        </w:rPr>
        <w:t>SIGNED for and on behalf of PENNINGTON INDUSTRIES LIMITED:</w:t>
      </w:r>
    </w:p>
    <w:p>
      <w:r>
        <w:t>Director: ........................................  (Richard Pennington)</w:t>
      </w:r>
    </w:p>
    <w:p>
      <w:pPr>
        <w:spacing w:before="240"/>
      </w:pPr>
      <w:r>
        <w:rPr>
          <w:b/>
        </w:rPr>
        <w:t>SIGNED for and on behalf of PENNINGTON PUMPS LIMITED:</w:t>
      </w:r>
    </w:p>
    <w:p>
      <w:r>
        <w:t>Director: ........................................  (Henry Doyle)</w:t>
      </w:r>
    </w:p>
    <w:p>
      <w:pPr>
        <w:spacing w:before="240"/>
      </w:pPr>
      <w:r>
        <w:rPr>
          <w:b/>
        </w:rPr>
        <w:t>SIGNED for and on behalf of PENNINGTON FLUID SYSTEMS LIMITED:</w:t>
      </w:r>
    </w:p>
    <w:p>
      <w:r>
        <w:t>Director: ........................................  (Naomi Patel)</w:t>
      </w:r>
    </w:p>
    <w:p>
      <w:pPr>
        <w:spacing w:before="240"/>
      </w:pPr>
      <w:r>
        <w:rPr>
          <w:b/>
        </w:rPr>
        <w:t>SIGNED for and on behalf of CALDERBANK MERCANTILE BANK PLC:</w:t>
      </w:r>
    </w:p>
    <w:p>
      <w:r>
        <w:t>Authorised signatory: ........................................  (Eleanor Whitmore)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