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44"/>
          <w:sz w:val="32"/>
        </w:rPr>
        <w:t>Whitfield Carter LLP</w:t>
      </w:r>
    </w:p>
    <w:p>
      <w:r>
        <w:rPr>
          <w:color w:val="666666"/>
          <w:sz w:val="16"/>
        </w:rPr>
        <w:t>Solicitors  |  22 Bishopsgate, London EC2N 4BQ  |  DX 134567 Bishopsgate</w:t>
      </w:r>
    </w:p>
    <w:p>
      <w:r>
        <w:rPr>
          <w:color w:val="666666"/>
          <w:sz w:val="16"/>
        </w:rPr>
        <w:t>T +44 (0)20 7946 0100   F +44 (0)20 7946 0101   www.whitfieldcarter.com</w:t>
      </w:r>
    </w:p>
    <w:p>
      <w:pPr>
        <w:spacing w:before="40"/>
        <w:pBdr>
          <w:bottom w:val="single" w:sz="8" w:space="1" w:color="1F2A44"/>
        </w:pBdr>
      </w:pPr>
    </w:p>
    <w:p>
      <w:pPr>
        <w:spacing w:before="160"/>
      </w:pPr>
      <w:r>
        <w:t>Our ref: SW/jo/PEN-0134</w:t>
        <w:br/>
      </w:r>
      <w:r>
        <w:t>11 February 2026</w:t>
      </w:r>
    </w:p>
    <w:p>
      <w:pPr>
        <w:spacing w:after="120"/>
      </w:pPr>
      <w:r>
        <w:rPr>
          <w:b w:val="0"/>
          <w:i w:val="0"/>
        </w:rPr>
      </w:r>
    </w:p>
    <w:p>
      <w:pPr>
        <w:spacing w:after="120"/>
      </w:pPr>
      <w:r>
        <w:rPr>
          <w:b/>
          <w:i w:val="0"/>
        </w:rPr>
        <w:t>PRIVILEGED &amp; CONFIDENTIAL – ADVICE TO THE BOARD</w:t>
      </w:r>
    </w:p>
    <w:p>
      <w:pPr>
        <w:spacing w:after="120"/>
        <w:jc w:val="center"/>
      </w:pPr>
      <w:r>
        <w:rPr>
          <w:b/>
          <w:i w:val="0"/>
          <w:sz w:val="28"/>
        </w:rPr>
        <w:t>ADVICE NOTE</w:t>
      </w:r>
    </w:p>
    <w:p>
      <w:pPr>
        <w:spacing w:after="120"/>
        <w:jc w:val="center"/>
      </w:pPr>
      <w:r>
        <w:rPr>
          <w:b/>
          <w:i w:val="0"/>
        </w:rPr>
        <w:t>Directors' duties in the zone of financial difficulty</w:t>
      </w:r>
    </w:p>
    <w:p>
      <w:pPr>
        <w:spacing w:after="120"/>
      </w:pPr>
      <w:r>
        <w:rPr>
          <w:b w:val="0"/>
          <w:i w:val="0"/>
        </w:rPr>
        <w:t>To: The Board of Pennington Industries Limited</w:t>
      </w:r>
    </w:p>
    <w:p>
      <w:pPr>
        <w:spacing w:after="120"/>
      </w:pPr>
      <w:r>
        <w:rPr>
          <w:b w:val="0"/>
          <w:i w:val="0"/>
        </w:rPr>
        <w:t>From: Sarah Whitfield, Whitfield Carter LLP</w:t>
      </w:r>
    </w:p>
    <w:p>
      <w:pPr>
        <w:spacing w:after="120"/>
      </w:pPr>
      <w:r>
        <w:rPr>
          <w:b w:val="0"/>
          <w:i w:val="0"/>
        </w:rPr>
        <w:t>Date: 11 February 2026</w:t>
      </w:r>
    </w:p>
    <w:p>
      <w:pPr>
        <w:spacing w:after="120"/>
      </w:pPr>
      <w:r>
        <w:rPr>
          <w:b w:val="0"/>
          <w:i w:val="0"/>
        </w:rPr>
        <w:t>Re: Project Lattice – directors' duties and the shift towards creditor interests</w:t>
      </w:r>
    </w:p>
    <w:p>
      <w:pPr>
        <w:pStyle w:val="Heading1"/>
      </w:pPr>
      <w:r>
        <w:t>1.  Purpose of this note</w:t>
      </w:r>
    </w:p>
    <w:p>
      <w:pPr>
        <w:spacing w:after="120"/>
      </w:pPr>
      <w:r>
        <w:rPr>
          <w:b w:val="0"/>
          <w:i w:val="0"/>
        </w:rPr>
        <w:t>This note advises the directors of Pennington Industries Limited (“the Company”) on the nature and content of their duties in the present financial circumstances of the Company and the Group, and on practical steps to discharge those duties and minimise the risk of personal liability. It is provided in the context of the Group's breach of its banking covenants at the December 2025 test date and the resulting restructuring discussions with the Bank. It is confidential and subject to legal professional privilege; it should not be circulated beyond the board and the company secretary.</w:t>
      </w:r>
    </w:p>
    <w:p>
      <w:pPr>
        <w:pStyle w:val="Heading1"/>
      </w:pPr>
      <w:r>
        <w:t>2.  The statutory duties</w:t>
      </w:r>
    </w:p>
    <w:p>
      <w:pPr>
        <w:spacing w:after="120"/>
      </w:pPr>
      <w:r>
        <w:rPr>
          <w:b w:val="0"/>
          <w:i w:val="0"/>
        </w:rPr>
        <w:t>The general duties of directors are codified in sections 171 to 177 of the Companies Act 2006. The most relevant in the current circumstances are: the duty to act within powers (s.171); the duty to promote the success of the company for the benefit of its members as a whole (s.172); the duty to exercise independent judgement (s.173); and the duty to exercise reasonable care, skill and diligence (s.174). The standard under s.174 is both objective (that of a reasonably diligent person with the general knowledge, skill and experience reasonably expected of a director) and subjective (taking account of the actual knowledge, skill and experience of the particular director).</w:t>
      </w:r>
    </w:p>
    <w:p>
      <w:pPr>
        <w:pStyle w:val="Heading1"/>
      </w:pPr>
      <w:r>
        <w:t>3.  The shift towards creditor interests</w:t>
      </w:r>
    </w:p>
    <w:p>
      <w:pPr>
        <w:spacing w:after="120"/>
      </w:pPr>
      <w:r>
        <w:rPr>
          <w:b w:val="0"/>
          <w:i w:val="0"/>
        </w:rPr>
        <w:t>Section 172(3) preserves a rule of law requiring directors, in certain circumstances, to consider or act in the interests of creditors. Following the Supreme Court's decision in BTI 2014 LLC v Sequana SA [2022] UKSC 25, it is established that the duty to have regard to creditors' interests (the “creditor duty”) is engaged when the directors know or ought to know that the company is insolvent or bordering on insolvency, or that an insolvent liquidation or administration is probable. As the financial position deteriorates, the weight to be given to creditors' interests increases; where insolvent liquidation or administration is inevitable, creditors' interests become paramount.</w:t>
      </w:r>
    </w:p>
    <w:p>
      <w:pPr>
        <w:spacing w:after="120"/>
      </w:pPr>
      <w:r>
        <w:rPr>
          <w:b w:val="0"/>
          <w:i w:val="0"/>
        </w:rPr>
        <w:t>In our view, given the covenant breaches, the negative headroom in the Group's short-term cash flow forecast absent the new money facility, and the dependence of the business on continued lender support, the creditor duty is now engaged. The board must treat the interests of creditors as a central consideration in its decision-making, balanced against the interests of members.</w:t>
      </w:r>
    </w:p>
    <w:p>
      <w:pPr>
        <w:pStyle w:val="Heading1"/>
      </w:pPr>
      <w:r>
        <w:t>4.  Wrongful trading and misfeasance</w:t>
      </w:r>
    </w:p>
    <w:p>
      <w:pPr>
        <w:spacing w:after="120"/>
      </w:pPr>
      <w:r>
        <w:rPr>
          <w:b w:val="0"/>
          <w:i w:val="0"/>
        </w:rPr>
        <w:t>Under section 214 of the Insolvency Act 1986, a director may be liable to contribute to a company's assets if, before the commencement of winding up, the director knew or ought to have concluded that there was no reasonable prospect that the company would avoid insolvent liquidation or administration, and thereafter failed to take every step with a view to minimising the potential loss to creditors. There is presently a credible restructuring path (the standstill and the proposed amendment with new money) which, if delivered, provides a reasonable prospect of avoiding insolvent liquidation. Provided the board continues to act reasonably and monitors the position closely, we do not consider that the s.214 threshold is currently crossed; but this assessment must be kept under continuous review as circumstances change.</w:t>
      </w:r>
    </w:p>
    <w:p>
      <w:pPr>
        <w:pStyle w:val="Heading1"/>
      </w:pPr>
      <w:r>
        <w:t>5.  Practical steps for the board</w:t>
      </w:r>
    </w:p>
    <w:p>
      <w:pPr>
        <w:pStyle w:val="ListBullet"/>
      </w:pPr>
      <w:r>
        <w:t>Meet frequently (we suggest weekly during the standstill) and minute decisions fully, recording the information considered and the commercial rationale, including the balancing of members' and creditors' interests.</w:t>
      </w:r>
    </w:p>
    <w:p>
      <w:pPr>
        <w:pStyle w:val="ListBullet"/>
      </w:pPr>
      <w:r>
        <w:t>Continue to obtain and scrutinise reliable, up-to-date financial information, in particular the rolling 13-week cash flow forecast and covenant model, and challenge management's assumptions.</w:t>
      </w:r>
    </w:p>
    <w:p>
      <w:pPr>
        <w:pStyle w:val="ListBullet"/>
      </w:pPr>
      <w:r>
        <w:t>Do not incur new credit or take deposits/prepayments that the Company may be unable to honour, and avoid any preference or transaction at an undervalue.</w:t>
      </w:r>
    </w:p>
    <w:p>
      <w:pPr>
        <w:pStyle w:val="ListBullet"/>
      </w:pPr>
      <w:r>
        <w:t>Take and follow professional advice (legal, financial and, where relevant, insolvency) and record that advice has been taken.</w:t>
      </w:r>
    </w:p>
    <w:p>
      <w:pPr>
        <w:pStyle w:val="ListBullet"/>
      </w:pPr>
      <w:r>
        <w:t>Be alert to the personal nature of directors' liability; the protection of the board lies in acting honestly, reasonably and on a properly informed basis throughout.</w:t>
      </w:r>
    </w:p>
    <w:p>
      <w:pPr>
        <w:pStyle w:val="Heading1"/>
      </w:pPr>
      <w:r>
        <w:t>6.  Conclusion</w:t>
      </w:r>
    </w:p>
    <w:p>
      <w:pPr>
        <w:spacing w:after="120"/>
      </w:pPr>
      <w:r>
        <w:rPr>
          <w:b w:val="0"/>
          <w:i w:val="0"/>
        </w:rPr>
        <w:t>The creditor duty is engaged and the board's decision-making must reflect it. There remains a viable, consensual route through the standstill and amendment, and we recommend the board pursue it diligently while keeping the position under constant review. We are available to attend board meetings and to advise on specific decisions as they arise.</w:t>
      </w:r>
    </w:p>
    <w:p>
      <w:pPr>
        <w:spacing w:after="120"/>
      </w:pPr>
      <w:r>
        <w:rPr>
          <w:b w:val="0"/>
          <w:i w:val="0"/>
        </w:rPr>
      </w:r>
    </w:p>
    <w:p>
      <w:pPr>
        <w:spacing w:after="120"/>
      </w:pPr>
      <w:r>
        <w:rPr>
          <w:b/>
          <w:i w:val="0"/>
        </w:rPr>
        <w:t>Sarah Whitfield</w:t>
      </w:r>
    </w:p>
    <w:p>
      <w:pPr>
        <w:spacing w:after="120"/>
      </w:pPr>
      <w:r>
        <w:rPr>
          <w:b w:val="0"/>
          <w:i w:val="0"/>
        </w:rPr>
        <w:t>Partner, Whitfield Carter LLP</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88888"/>
        <w:sz w:val="14"/>
      </w:rPr>
      <w:t>Whitfield Carter LLP is a limited liability partnership registered in England and Wales (registered number OC418862). A list of members is available at the registered office. Authorised and regulated by the Solicitors Regulation Authority. This communication is confidential and may be legally 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