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44"/>
          <w:sz w:val="32"/>
        </w:rPr>
        <w:t>Whitfield Carter LLP</w:t>
      </w:r>
    </w:p>
    <w:p>
      <w:r>
        <w:rPr>
          <w:color w:val="666666"/>
          <w:sz w:val="16"/>
        </w:rPr>
        <w:t>Solicitors  |  22 Bishopsgate, London EC2N 4BQ  |  DX 134567 Bishopsgate</w:t>
      </w:r>
    </w:p>
    <w:p>
      <w:r>
        <w:rPr>
          <w:color w:val="666666"/>
          <w:sz w:val="16"/>
        </w:rPr>
        <w:t>T +44 (0)20 7946 0100   F +44 (0)20 7946 0101   www.whitfieldcarter.com</w:t>
      </w:r>
    </w:p>
    <w:p>
      <w:pPr>
        <w:spacing w:before="40"/>
        <w:pBdr>
          <w:bottom w:val="single" w:sz="8" w:space="1" w:color="1F2A44"/>
        </w:pBdr>
      </w:pPr>
    </w:p>
    <w:p>
      <w:pPr>
        <w:spacing w:before="160"/>
      </w:pPr>
      <w:r>
        <w:t>Our ref: SW/jo/PEN-0134</w:t>
        <w:br/>
      </w:r>
      <w:r>
        <w:t>6 February 2026</w:t>
      </w:r>
    </w:p>
    <w:p>
      <w:pPr>
        <w:spacing w:after="120"/>
      </w:pPr>
      <w:r>
        <w:rPr>
          <w:b w:val="0"/>
          <w:i w:val="0"/>
        </w:rPr>
      </w:r>
    </w:p>
    <w:p>
      <w:pPr>
        <w:spacing w:after="120"/>
      </w:pPr>
      <w:r>
        <w:rPr>
          <w:b/>
          <w:i w:val="0"/>
        </w:rPr>
        <w:t>STRICTLY PRIVATE &amp; CONFIDENTIAL</w:t>
      </w:r>
    </w:p>
    <w:p>
      <w:pPr>
        <w:spacing w:after="120"/>
      </w:pPr>
      <w:r>
        <w:rPr>
          <w:b w:val="0"/>
          <w:i w:val="0"/>
        </w:rPr>
        <w:t>The Directors</w:t>
      </w:r>
    </w:p>
    <w:p>
      <w:pPr>
        <w:spacing w:after="120"/>
      </w:pPr>
      <w:r>
        <w:rPr>
          <w:b w:val="0"/>
          <w:i w:val="0"/>
        </w:rPr>
        <w:t>Pennington Industries Limited</w:t>
      </w:r>
    </w:p>
    <w:p>
      <w:pPr>
        <w:spacing w:after="120"/>
      </w:pPr>
      <w:r>
        <w:rPr>
          <w:b w:val="0"/>
          <w:i w:val="0"/>
        </w:rPr>
        <w:t>Pennington House, Kettering Business Park</w:t>
      </w:r>
    </w:p>
    <w:p>
      <w:pPr>
        <w:spacing w:after="120"/>
      </w:pPr>
      <w:r>
        <w:rPr>
          <w:b w:val="0"/>
          <w:i w:val="0"/>
        </w:rPr>
        <w:t>Kettering NN15 6XT</w:t>
      </w:r>
    </w:p>
    <w:p>
      <w:pPr>
        <w:spacing w:after="120"/>
      </w:pPr>
      <w:r>
        <w:rPr>
          <w:b w:val="0"/>
          <w:i w:val="0"/>
        </w:rPr>
      </w:r>
    </w:p>
    <w:p>
      <w:pPr>
        <w:spacing w:after="120"/>
      </w:pPr>
      <w:r>
        <w:rPr>
          <w:b w:val="0"/>
          <w:i w:val="0"/>
        </w:rPr>
        <w:t>For the attention of Mr Richard Pennington, Chair &amp; Chief Executive</w:t>
      </w:r>
    </w:p>
    <w:p>
      <w:pPr>
        <w:spacing w:after="120"/>
      </w:pPr>
      <w:r>
        <w:rPr>
          <w:b w:val="0"/>
          <w:i w:val="0"/>
        </w:rPr>
      </w:r>
    </w:p>
    <w:p>
      <w:pPr>
        <w:spacing w:after="120"/>
      </w:pPr>
      <w:r>
        <w:rPr>
          <w:b/>
          <w:i w:val="0"/>
        </w:rPr>
        <w:t>Dear Sirs</w:t>
      </w:r>
    </w:p>
    <w:p>
      <w:pPr>
        <w:spacing w:after="120"/>
      </w:pPr>
      <w:r>
        <w:rPr>
          <w:b/>
          <w:i w:val="0"/>
        </w:rPr>
        <w:t>Engagement: restructuring of the Group's senior banking facilities (Project Lattice)</w:t>
      </w:r>
    </w:p>
    <w:p>
      <w:pPr>
        <w:spacing w:after="120"/>
      </w:pPr>
      <w:r>
        <w:rPr>
          <w:b w:val="0"/>
          <w:i w:val="0"/>
        </w:rPr>
        <w:t>We are delighted to confirm the basis on which Whitfield Carter LLP (“the Firm”, “we”, “us”) will act for Pennington Industries Limited (company number 02981145) and its subsidiaries (together, “the Group” or “you”) in connection with the proposed consensual restructuring and amendment of the Group's senior secured banking facilities provided by Calderbank Mercantile Bank plc (“the Bank”). This letter, together with our enclosed Standard Terms of Business, forms the contract between us.</w:t>
      </w:r>
    </w:p>
    <w:p>
      <w:pPr>
        <w:pStyle w:val="Heading2"/>
      </w:pPr>
      <w:r>
        <w:t>1.  Scope of our engagement</w:t>
      </w:r>
    </w:p>
    <w:p>
      <w:pPr>
        <w:spacing w:after="120"/>
      </w:pPr>
      <w:r>
        <w:rPr>
          <w:b w:val="0"/>
          <w:i w:val="0"/>
        </w:rPr>
        <w:t>Our instructions are to advise the Group, and to act on its behalf, in relation to:</w:t>
      </w:r>
    </w:p>
    <w:p>
      <w:pPr>
        <w:pStyle w:val="ListBullet"/>
      </w:pPr>
      <w:r>
        <w:t>the breach of the financial covenants under the Facilities Agreement dated 19 March 2023 (as previously amended) identified at the December 2025 quarter-end test date, and the Group's options arising from it;</w:t>
      </w:r>
    </w:p>
    <w:p>
      <w:pPr>
        <w:pStyle w:val="ListBullet"/>
      </w:pPr>
      <w:r>
        <w:t>the negotiation and documentation of a standstill and waiver arrangement with the Bank to provide the Group with stability while a longer-term solution is agreed;</w:t>
      </w:r>
    </w:p>
    <w:p>
      <w:pPr>
        <w:pStyle w:val="ListBullet"/>
      </w:pPr>
      <w:r>
        <w:t>the negotiation and documentation of an amendment and restatement of the Facilities Agreement, including any new or super-senior money facility, revised margin, amended covenant package and associated security;</w:t>
      </w:r>
    </w:p>
    <w:p>
      <w:pPr>
        <w:pStyle w:val="ListBullet"/>
      </w:pPr>
      <w:r>
        <w:t>advising the board of directors on their duties in the current financial circumstances, including the shift in duties towards creditors where insolvency is a real prospect; and</w:t>
      </w:r>
    </w:p>
    <w:p>
      <w:pPr>
        <w:pStyle w:val="ListBullet"/>
      </w:pPr>
      <w:r>
        <w:t>liaising with the Group's financial advisers, Marlow Tax &amp; Advisory Ltd, and with the Bank's advisers, Birchall Stone LLP, in relation to the independent business review and the restructuring more generally.</w:t>
      </w:r>
    </w:p>
    <w:p>
      <w:pPr>
        <w:spacing w:after="120"/>
      </w:pPr>
      <w:r>
        <w:rPr>
          <w:b w:val="0"/>
          <w:i w:val="0"/>
        </w:rPr>
        <w:t>Our engagement does not extend to formal insolvency advice (for which separate specialist advice would be required), tax structuring (on which Marlow Tax &amp; Advisory Ltd is instructed), or pensions advice, unless separately agreed in writing.</w:t>
      </w:r>
    </w:p>
    <w:p>
      <w:pPr>
        <w:pStyle w:val="Heading2"/>
      </w:pPr>
      <w:r>
        <w:t>2.  The team</w:t>
      </w:r>
    </w:p>
    <w:p>
      <w:pPr>
        <w:spacing w:after="120"/>
      </w:pPr>
      <w:r>
        <w:rPr>
          <w:b w:val="0"/>
          <w:i w:val="0"/>
        </w:rPr>
        <w:t>The engagement will be led by Sarah Whitfield (Partner), who will retain overall responsibility for your matter. James Osei (Senior Associate) will have day-to-day conduct, supported by Tom Gallagher (Associate). We will draw on our banking, security and contentious restructuring specialists as required. The team's hourly rates (exclusive of VAT) are: Partner £650; Senior Associate £445; Associate £315. We will review these rates on 1 May each year.</w:t>
      </w:r>
    </w:p>
    <w:p>
      <w:pPr>
        <w:pStyle w:val="Heading2"/>
      </w:pPr>
      <w:r>
        <w:t>3.  Fees, disbursements and estimate</w:t>
      </w:r>
    </w:p>
    <w:p>
      <w:pPr>
        <w:spacing w:after="120"/>
      </w:pPr>
      <w:r>
        <w:rPr>
          <w:b w:val="0"/>
          <w:i w:val="0"/>
        </w:rPr>
        <w:t>Our fees are calculated principally by reference to time spent. Given the fluid nature of a restructuring, we are not able to give a fixed fee. Our current best estimate of our fees for the standstill phase is £45,000 to £60,000 plus VAT, and for the subsequent amendment and restatement a further £65,000 to £95,000 plus VAT, in each case excluding disbursements and the Bank's legal costs, for which the Group is contractually responsible under the Facilities Agreement. We will update this estimate as the matter develops and will not exceed it without first discussing it with you.</w:t>
      </w:r>
    </w:p>
    <w:p>
      <w:pPr>
        <w:pStyle w:val="Heading2"/>
      </w:pPr>
      <w:r>
        <w:t>4.  The Bank's costs</w:t>
      </w:r>
    </w:p>
    <w:p>
      <w:pPr>
        <w:spacing w:after="120"/>
      </w:pPr>
      <w:r>
        <w:rPr>
          <w:b w:val="0"/>
          <w:i w:val="0"/>
        </w:rPr>
        <w:t>You should be aware that, under clause 17 (Costs and Expenses) of the existing Facilities Agreement, the Group is liable for the Bank's legal and professional costs incurred in connection with any amendment, waiver or the preservation of the Bank's rights. We will seek to agree a cap on those costs with the Bank's advisers but cannot guarantee one will be agreed.</w:t>
      </w:r>
    </w:p>
    <w:p>
      <w:pPr>
        <w:pStyle w:val="Heading2"/>
      </w:pPr>
      <w:r>
        <w:t>5.  Conflicts and confidentiality</w:t>
      </w:r>
    </w:p>
    <w:p>
      <w:pPr>
        <w:spacing w:after="120"/>
      </w:pPr>
      <w:r>
        <w:rPr>
          <w:b w:val="0"/>
          <w:i w:val="0"/>
        </w:rPr>
        <w:t>We have carried out a conflict search and are not aware of any conflict of interest that would prevent us from acting. We treat all information you provide as confidential. Please note the price-sensitive and market-sensitive nature of this matter and the need to restrict knowledge of it to those with a genuine need to know.</w:t>
      </w:r>
    </w:p>
    <w:p>
      <w:pPr>
        <w:pStyle w:val="Heading2"/>
      </w:pPr>
      <w:r>
        <w:t>6.  Anti-money laundering</w:t>
      </w:r>
    </w:p>
    <w:p>
      <w:pPr>
        <w:spacing w:after="120"/>
      </w:pPr>
      <w:r>
        <w:rPr>
          <w:b w:val="0"/>
          <w:i w:val="0"/>
        </w:rPr>
        <w:t>We are required to verify the identity of our client and its beneficial owners. We will write separately with our identification requirements; we are unable to undertake substantive work or release funds until these are satisfied.</w:t>
      </w:r>
    </w:p>
    <w:p>
      <w:pPr>
        <w:pStyle w:val="Heading2"/>
      </w:pPr>
      <w:r>
        <w:t>7.  Acceptance</w:t>
      </w:r>
    </w:p>
    <w:p>
      <w:pPr>
        <w:spacing w:after="120"/>
      </w:pPr>
      <w:r>
        <w:rPr>
          <w:b w:val="0"/>
          <w:i w:val="0"/>
        </w:rPr>
        <w:t>Please confirm your agreement to the terms of this letter and the enclosed Standard Terms of Business by signing and returning the enclosed copy. We are very pleased to be working with you on this important matter and will do all we can to achieve a constructive outcome with the Bank.</w:t>
      </w:r>
    </w:p>
    <w:p>
      <w:pPr>
        <w:spacing w:after="120"/>
      </w:pPr>
      <w:r>
        <w:rPr>
          <w:b w:val="0"/>
          <w:i w:val="0"/>
        </w:rPr>
      </w:r>
    </w:p>
    <w:p>
      <w:pPr>
        <w:spacing w:after="120"/>
      </w:pPr>
      <w:r>
        <w:rPr>
          <w:b w:val="0"/>
          <w:i w:val="0"/>
        </w:rPr>
        <w:t>Yours faithfully</w:t>
      </w:r>
    </w:p>
    <w:p>
      <w:pPr>
        <w:spacing w:after="120"/>
      </w:pPr>
      <w:r>
        <w:rPr>
          <w:b w:val="0"/>
          <w:i w:val="0"/>
        </w:rPr>
      </w:r>
    </w:p>
    <w:p>
      <w:pPr>
        <w:spacing w:after="120"/>
      </w:pPr>
      <w:r>
        <w:rPr>
          <w:b/>
          <w:i w:val="0"/>
        </w:rPr>
        <w:t>Sarah Whitfield</w:t>
      </w:r>
    </w:p>
    <w:p>
      <w:pPr>
        <w:spacing w:after="120"/>
      </w:pPr>
      <w:r>
        <w:rPr>
          <w:b w:val="0"/>
          <w:i w:val="0"/>
        </w:rPr>
        <w:t>Partner, for and on behalf of Whitfield Carter LLP</w:t>
      </w:r>
    </w:p>
    <w:p>
      <w:pPr>
        <w:spacing w:after="120"/>
      </w:pPr>
      <w:r>
        <w:rPr>
          <w:b w:val="0"/>
          <w:i w:val="0"/>
        </w:rPr>
        <w:t>sarah.whitfield@whitfieldcarter.com  |  +44 (0)20 7946 0118</w:t>
      </w:r>
    </w:p>
    <w:p>
      <w:pPr>
        <w:spacing w:after="120"/>
      </w:pPr>
      <w:r>
        <w:rPr>
          <w:b w:val="0"/>
          <w:i w:val="0"/>
        </w:rPr>
      </w:r>
    </w:p>
    <w:p>
      <w:pPr>
        <w:spacing w:after="120"/>
      </w:pPr>
      <w:r>
        <w:rPr>
          <w:b w:val="0"/>
          <w:i w:val="0"/>
        </w:rPr>
        <w:t>Enc. Standard Terms of Business</w:t>
      </w:r>
    </w:p>
    <w:p>
      <w:pPr>
        <w:spacing w:after="120"/>
      </w:pPr>
      <w:r>
        <w:rPr>
          <w:b w:val="0"/>
          <w:i w:val="0"/>
        </w:rPr>
      </w:r>
    </w:p>
    <w:p>
      <w:pPr>
        <w:spacing w:after="120"/>
      </w:pPr>
      <w:r>
        <w:rPr>
          <w:b w:val="0"/>
          <w:i w:val="0"/>
        </w:rPr>
        <w:t>We confirm our agreement to the terms set out above and in the enclosed Standard Terms of Business, and confirm that we are authorised to do so on behalf of Pennington Industries Limited and the Group.</w:t>
      </w:r>
    </w:p>
    <w:p>
      <w:pPr>
        <w:spacing w:after="120"/>
      </w:pPr>
      <w:r>
        <w:rPr>
          <w:b w:val="0"/>
          <w:i w:val="0"/>
        </w:rPr>
      </w:r>
    </w:p>
    <w:p>
      <w:pPr>
        <w:spacing w:after="120"/>
      </w:pPr>
      <w:r>
        <w:rPr>
          <w:b w:val="0"/>
          <w:i w:val="0"/>
        </w:rPr>
        <w:t>Signed: ......................................................</w:t>
      </w:r>
    </w:p>
    <w:p>
      <w:pPr>
        <w:spacing w:after="120"/>
      </w:pPr>
      <w:r>
        <w:rPr>
          <w:b w:val="0"/>
          <w:i w:val="0"/>
        </w:rPr>
        <w:t>Name: Richard Pennington</w:t>
      </w:r>
    </w:p>
    <w:p>
      <w:pPr>
        <w:spacing w:after="120"/>
      </w:pPr>
      <w:r>
        <w:rPr>
          <w:b w:val="0"/>
          <w:i w:val="0"/>
        </w:rPr>
        <w:t>Position: Chair &amp; Chief Executive, for and on behalf of Pennington Industries Limited</w:t>
      </w:r>
    </w:p>
    <w:p>
      <w:pPr>
        <w:spacing w:after="120"/>
      </w:pPr>
      <w:r>
        <w:rPr>
          <w:b w:val="0"/>
          <w:i w:val="0"/>
        </w:rPr>
        <w:t>Date: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88888"/>
        <w:sz w:val="14"/>
      </w:rPr>
      <w:t>Whitfield Carter LLP is a limited liability partnership registered in England and Wales (registered number OC418862). A list of members is available at the registered office. Authorised and regulated by the Solicitors Regulation Authority. This communication is confidential and may be legally 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