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30"/>
        </w:rPr>
        <w:t>PROJECT LATTICE</w:t>
      </w:r>
    </w:p>
    <w:p>
      <w:pPr>
        <w:spacing w:after="120"/>
        <w:jc w:val="center"/>
      </w:pPr>
      <w:r>
        <w:rPr>
          <w:b/>
          <w:i w:val="0"/>
        </w:rPr>
        <w:t>Restructuring Term Sheet – Indicative and Subject to Contract</w:t>
      </w:r>
    </w:p>
    <w:p>
      <w:pPr>
        <w:spacing w:after="120"/>
        <w:jc w:val="center"/>
      </w:pPr>
      <w:r>
        <w:rPr>
          <w:b w:val="0"/>
          <w:i/>
        </w:rPr>
        <w:t>Strictly private and confidential | Without prejudice</w:t>
      </w:r>
    </w:p>
    <w:p>
      <w:pPr>
        <w:spacing w:after="120"/>
        <w:jc w:val="center"/>
      </w:pPr>
      <w:r>
        <w:rPr>
          <w:b w:val="0"/>
          <w:i w:val="0"/>
          <w:sz w:val="18"/>
        </w:rPr>
        <w:t>Draft 3 – 24 February 2026</w:t>
      </w:r>
    </w:p>
    <w:p>
      <w:pPr>
        <w:spacing w:after="120"/>
      </w:pPr>
      <w:r>
        <w:rPr>
          <w:b w:val="0"/>
          <w:i w:val="0"/>
        </w:rPr>
        <w:t>This term sheet summarises the principal terms on which Calderbank Mercantile Bank plc (the “Bank”, in its capacities as Lender, Agent and Security Trustee) and Pennington Industries Limited and its subsidiaries (the “Group”) propose to restructure the Group's existing senior facilities. It is indicative only, is not legally binding (save for the confidentiality and costs provisions), and is subject to credit committee approval and to definitive documentation.</w:t>
      </w:r>
    </w:p>
    <w:tbl>
      <w:tblPr>
        <w:tblStyle w:val="LightGrid-Accent1"/>
        <w:tblW w:type="auto" w:w="0"/>
        <w:tblLook w:firstColumn="1" w:firstRow="1" w:lastColumn="0" w:lastRow="0" w:noHBand="0" w:noVBand="1" w:val="04A0"/>
      </w:tblPr>
      <w:tblGrid>
        <w:gridCol w:w="4680"/>
        <w:gridCol w:w="4680"/>
      </w:tblGrid>
      <w:tr>
        <w:tc>
          <w:tcPr>
            <w:tcW w:type="dxa" w:w="3168"/>
          </w:tcPr>
          <w:p>
            <w:r>
              <w:rPr>
                <w:b/>
                <w:sz w:val="20"/>
              </w:rPr>
              <w:t>Borrower / Obligors</w:t>
            </w:r>
          </w:p>
        </w:tc>
        <w:tc>
          <w:tcPr>
            <w:tcW w:type="dxa" w:w="6192"/>
          </w:tcPr>
          <w:p>
            <w:r>
              <w:rPr>
                <w:sz w:val="20"/>
              </w:rPr>
              <w:t>Pennington Industries Limited as Borrower; Pennington Pumps Limited and Pennington Fluid Systems Limited as Guarantors (together with the Borrower, the “Obligors”).</w:t>
            </w:r>
          </w:p>
        </w:tc>
      </w:tr>
      <w:tr>
        <w:tc>
          <w:tcPr>
            <w:tcW w:type="dxa" w:w="3168"/>
          </w:tcPr>
          <w:p>
            <w:r>
              <w:rPr>
                <w:b/>
                <w:sz w:val="20"/>
              </w:rPr>
              <w:t>Lender / Agent / Security Trustee</w:t>
            </w:r>
          </w:p>
        </w:tc>
        <w:tc>
          <w:tcPr>
            <w:tcW w:type="dxa" w:w="6192"/>
          </w:tcPr>
          <w:p>
            <w:r>
              <w:rPr>
                <w:sz w:val="20"/>
              </w:rPr>
              <w:t>Calderbank Mercantile Bank plc.</w:t>
            </w:r>
          </w:p>
        </w:tc>
      </w:tr>
      <w:tr>
        <w:tc>
          <w:tcPr>
            <w:tcW w:type="dxa" w:w="3168"/>
          </w:tcPr>
          <w:p>
            <w:r>
              <w:rPr>
                <w:b/>
                <w:sz w:val="20"/>
              </w:rPr>
              <w:t>Existing Facilities</w:t>
            </w:r>
          </w:p>
        </w:tc>
        <w:tc>
          <w:tcPr>
            <w:tcW w:type="dxa" w:w="6192"/>
          </w:tcPr>
          <w:p>
            <w:r>
              <w:rPr>
                <w:sz w:val="20"/>
              </w:rPr>
              <w:t>(i) Term Loan of £24.5m (£24.5m outstanding); (ii) Revolving Credit Facility of £12.0m (fully drawn); and (iii) Overdraft of £2.0m. Total senior debt outstanding £38.5m.</w:t>
            </w:r>
          </w:p>
        </w:tc>
      </w:tr>
      <w:tr>
        <w:tc>
          <w:tcPr>
            <w:tcW w:type="dxa" w:w="3168"/>
          </w:tcPr>
          <w:p>
            <w:r>
              <w:rPr>
                <w:b/>
                <w:sz w:val="20"/>
              </w:rPr>
              <w:t>Covenant breach</w:t>
            </w:r>
          </w:p>
        </w:tc>
        <w:tc>
          <w:tcPr>
            <w:tcW w:type="dxa" w:w="6192"/>
          </w:tcPr>
          <w:p>
            <w:r>
              <w:rPr>
                <w:sz w:val="20"/>
              </w:rPr>
              <w:t>At the December 2025 test date: Net Leverage 4.6x against a covenant of 3.00x; DSCR 0.94x against a covenant of 1.20x. Events of Default subsisting.</w:t>
            </w:r>
          </w:p>
        </w:tc>
      </w:tr>
      <w:tr>
        <w:tc>
          <w:tcPr>
            <w:tcW w:type="dxa" w:w="3168"/>
          </w:tcPr>
          <w:p>
            <w:r>
              <w:rPr>
                <w:b/>
                <w:sz w:val="20"/>
              </w:rPr>
              <w:t>Standstill</w:t>
            </w:r>
          </w:p>
        </w:tc>
        <w:tc>
          <w:tcPr>
            <w:tcW w:type="dxa" w:w="6192"/>
          </w:tcPr>
          <w:p>
            <w:r>
              <w:rPr>
                <w:sz w:val="20"/>
              </w:rPr>
              <w:t>The Bank will agree a standstill of 13 weeks during which it will not exercise enforcement rights arising from the specified defaults, subject to the standstill conditions and milestones.</w:t>
            </w:r>
          </w:p>
        </w:tc>
      </w:tr>
      <w:tr>
        <w:tc>
          <w:tcPr>
            <w:tcW w:type="dxa" w:w="3168"/>
          </w:tcPr>
          <w:p>
            <w:r>
              <w:rPr>
                <w:b/>
                <w:sz w:val="20"/>
              </w:rPr>
              <w:t>New Money / Super-Senior Facility</w:t>
            </w:r>
          </w:p>
        </w:tc>
        <w:tc>
          <w:tcPr>
            <w:tcW w:type="dxa" w:w="6192"/>
          </w:tcPr>
          <w:p>
            <w:r>
              <w:rPr>
                <w:sz w:val="20"/>
              </w:rPr>
              <w:t>A new committed super-senior term facility of £4.0m to fund the Group's working capital requirement through the restructuring period, ranking ahead of the existing facilities as to enforcement proceeds.</w:t>
            </w:r>
          </w:p>
        </w:tc>
      </w:tr>
      <w:tr>
        <w:tc>
          <w:tcPr>
            <w:tcW w:type="dxa" w:w="3168"/>
          </w:tcPr>
          <w:p>
            <w:r>
              <w:rPr>
                <w:b/>
                <w:sz w:val="20"/>
              </w:rPr>
              <w:t>Amended Margin</w:t>
            </w:r>
          </w:p>
        </w:tc>
        <w:tc>
          <w:tcPr>
            <w:tcW w:type="dxa" w:w="6192"/>
          </w:tcPr>
          <w:p>
            <w:r>
              <w:rPr>
                <w:sz w:val="20"/>
              </w:rPr>
              <w:t>Margin on the existing facilities to increase from 300 bps to 425 bps per annum over SONIA. The super-senior facility to carry a margin of 650 bps per annum over SONIA.</w:t>
            </w:r>
          </w:p>
        </w:tc>
      </w:tr>
      <w:tr>
        <w:tc>
          <w:tcPr>
            <w:tcW w:type="dxa" w:w="3168"/>
          </w:tcPr>
          <w:p>
            <w:r>
              <w:rPr>
                <w:b/>
                <w:sz w:val="20"/>
              </w:rPr>
              <w:t>Amendment / Consent Fee</w:t>
            </w:r>
          </w:p>
        </w:tc>
        <w:tc>
          <w:tcPr>
            <w:tcW w:type="dxa" w:w="6192"/>
          </w:tcPr>
          <w:p>
            <w:r>
              <w:rPr>
                <w:sz w:val="20"/>
              </w:rPr>
              <w:t>An amendment fee of 75 bps on total commitments, payable on the effective date of the amendment and restatement; a standstill fee of 25 bps payable on signing of the standstill agreement.</w:t>
            </w:r>
          </w:p>
        </w:tc>
      </w:tr>
      <w:tr>
        <w:tc>
          <w:tcPr>
            <w:tcW w:type="dxa" w:w="3168"/>
          </w:tcPr>
          <w:p>
            <w:r>
              <w:rPr>
                <w:b/>
                <w:sz w:val="20"/>
              </w:rPr>
              <w:t>Revised Covenants</w:t>
            </w:r>
          </w:p>
        </w:tc>
        <w:tc>
          <w:tcPr>
            <w:tcW w:type="dxa" w:w="6192"/>
          </w:tcPr>
          <w:p>
            <w:r>
              <w:rPr>
                <w:sz w:val="20"/>
              </w:rPr>
              <w:t>Net Leverage and DSCR covenants to be re-set on a stepped basis by reference to the Group's revised business plan, with monthly minimum-liquidity and 13-week cash flow covenants introduced for the standstill period.</w:t>
            </w:r>
          </w:p>
        </w:tc>
      </w:tr>
      <w:tr>
        <w:tc>
          <w:tcPr>
            <w:tcW w:type="dxa" w:w="3168"/>
          </w:tcPr>
          <w:p>
            <w:r>
              <w:rPr>
                <w:b/>
                <w:sz w:val="20"/>
              </w:rPr>
              <w:t>Information undertakings</w:t>
            </w:r>
          </w:p>
        </w:tc>
        <w:tc>
          <w:tcPr>
            <w:tcW w:type="dxa" w:w="6192"/>
          </w:tcPr>
          <w:p>
            <w:r>
              <w:rPr>
                <w:sz w:val="20"/>
              </w:rPr>
              <w:t>Monthly management accounts within 15 business days; weekly 13-week cash flow with variance analysis; delivery of the Independent Business Review and adoption of an agreed restructuring plan as a condition to the amendment.</w:t>
            </w:r>
          </w:p>
        </w:tc>
      </w:tr>
      <w:tr>
        <w:tc>
          <w:tcPr>
            <w:tcW w:type="dxa" w:w="3168"/>
          </w:tcPr>
          <w:p>
            <w:r>
              <w:rPr>
                <w:b/>
                <w:sz w:val="20"/>
              </w:rPr>
              <w:t>Security</w:t>
            </w:r>
          </w:p>
        </w:tc>
        <w:tc>
          <w:tcPr>
            <w:tcW w:type="dxa" w:w="6192"/>
          </w:tcPr>
          <w:p>
            <w:r>
              <w:rPr>
                <w:sz w:val="20"/>
              </w:rPr>
              <w:t>Confirmation and, where required, refresh of the existing debenture, share charges and cross-guarantees; a new intercreditor arrangement to reflect the super-senior ranking.</w:t>
            </w:r>
          </w:p>
        </w:tc>
      </w:tr>
      <w:tr>
        <w:tc>
          <w:tcPr>
            <w:tcW w:type="dxa" w:w="3168"/>
          </w:tcPr>
          <w:p>
            <w:r>
              <w:rPr>
                <w:b/>
                <w:sz w:val="20"/>
              </w:rPr>
              <w:t>Conditions Precedent</w:t>
            </w:r>
          </w:p>
        </w:tc>
        <w:tc>
          <w:tcPr>
            <w:tcW w:type="dxa" w:w="6192"/>
          </w:tcPr>
          <w:p>
            <w:r>
              <w:rPr>
                <w:sz w:val="20"/>
              </w:rPr>
              <w:t>Including board and shareholder approvals, satisfactory IBR, refreshed security and legal opinions, and payment of fees and the Bank's costs.</w:t>
            </w:r>
          </w:p>
        </w:tc>
      </w:tr>
      <w:tr>
        <w:tc>
          <w:tcPr>
            <w:tcW w:type="dxa" w:w="3168"/>
          </w:tcPr>
          <w:p>
            <w:r>
              <w:rPr>
                <w:b/>
                <w:sz w:val="20"/>
              </w:rPr>
              <w:t>Costs</w:t>
            </w:r>
          </w:p>
        </w:tc>
        <w:tc>
          <w:tcPr>
            <w:tcW w:type="dxa" w:w="6192"/>
          </w:tcPr>
          <w:p>
            <w:r>
              <w:rPr>
                <w:sz w:val="20"/>
              </w:rPr>
              <w:t>The Group to pay the Bank's legal and professional costs (the parties to use reasonable endeavours to agree a cost cap).</w:t>
            </w:r>
          </w:p>
        </w:tc>
      </w:tr>
      <w:tr>
        <w:tc>
          <w:tcPr>
            <w:tcW w:type="dxa" w:w="3168"/>
          </w:tcPr>
          <w:p>
            <w:r>
              <w:rPr>
                <w:b/>
                <w:sz w:val="20"/>
              </w:rPr>
              <w:t>Governing law</w:t>
            </w:r>
          </w:p>
        </w:tc>
        <w:tc>
          <w:tcPr>
            <w:tcW w:type="dxa" w:w="6192"/>
          </w:tcPr>
          <w:p>
            <w:r>
              <w:rPr>
                <w:sz w:val="20"/>
              </w:rPr>
              <w:t>English law; courts of England and Wales.</w:t>
            </w:r>
          </w:p>
        </w:tc>
      </w:tr>
    </w:tbl>
    <w:p>
      <w:pPr>
        <w:spacing w:after="120"/>
      </w:pPr>
      <w:r>
        <w:rPr>
          <w:b w:val="0"/>
          <w:i w:val="0"/>
        </w:rPr>
      </w:r>
    </w:p>
    <w:p>
      <w:pPr>
        <w:spacing w:after="120"/>
      </w:pPr>
      <w:r>
        <w:rPr>
          <w:b w:val="0"/>
          <w:i/>
          <w:sz w:val="18"/>
        </w:rPr>
        <w:t>Subject to contract and without prejudice. Save for the provisions relating to confidentiality and costs, this term sheet does not create legally binding obligations and is subject to formal credit approval and to the negotiation and execution of definitive legal documentation.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88888"/>
        <w:sz w:val="14"/>
      </w:rPr>
      <w:t>Whitfield Carter LLP is a limited liability partnership registered in England and Wales (registered number OC418862). A list of members is available at the registered office. Authorised and regulated by the Solicitors Regulation Authority. This communication is confidential and may be legally privileged.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