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2A44"/>
          <w:sz w:val="32"/>
        </w:rPr>
        <w:t>Whitfield Carter LLP</w:t>
      </w:r>
    </w:p>
    <w:p>
      <w:r>
        <w:rPr>
          <w:color w:val="666666"/>
          <w:sz w:val="16"/>
        </w:rPr>
        <w:t>Solicitors  |  22 Bishopsgate, London EC2N 4BQ  |  DX 134567 Bishopsgate</w:t>
      </w:r>
    </w:p>
    <w:p>
      <w:r>
        <w:rPr>
          <w:color w:val="666666"/>
          <w:sz w:val="16"/>
        </w:rPr>
        <w:t>T +44 (0)20 7946 0100   F +44 (0)20 7946 0101   www.whitfieldcarter.com</w:t>
      </w:r>
    </w:p>
    <w:p>
      <w:pPr>
        <w:spacing w:before="40"/>
        <w:pBdr>
          <w:bottom w:val="single" w:sz="8" w:space="1" w:color="1F2A44"/>
        </w:pBdr>
      </w:pPr>
    </w:p>
    <w:p>
      <w:pPr>
        <w:spacing w:before="160"/>
      </w:pPr>
      <w:r>
        <w:t>Our ref: JO/PEN-0134</w:t>
        <w:br/>
      </w:r>
      <w:r>
        <w:t>18 February 2026</w:t>
      </w:r>
    </w:p>
    <w:p>
      <w:pPr>
        <w:spacing w:after="120"/>
      </w:pPr>
      <w:r>
        <w:rPr>
          <w:b w:val="0"/>
          <w:i w:val="0"/>
        </w:rPr>
      </w:r>
    </w:p>
    <w:p>
      <w:pPr>
        <w:spacing w:after="120"/>
      </w:pPr>
      <w:r>
        <w:rPr>
          <w:b/>
          <w:i w:val="0"/>
        </w:rPr>
        <w:t>PRIVILEGED &amp; CONFIDENTIAL</w:t>
      </w:r>
    </w:p>
    <w:p>
      <w:pPr>
        <w:spacing w:after="120"/>
        <w:jc w:val="center"/>
      </w:pPr>
      <w:r>
        <w:rPr>
          <w:b/>
          <w:i w:val="0"/>
          <w:sz w:val="26"/>
        </w:rPr>
        <w:t>MEMORANDUM – EXISTING SECURITY REVIEW</w:t>
      </w:r>
    </w:p>
    <w:p>
      <w:pPr>
        <w:spacing w:after="120"/>
      </w:pPr>
      <w:r>
        <w:rPr>
          <w:b w:val="0"/>
          <w:i w:val="0"/>
        </w:rPr>
        <w:t>To: Sarah Whitfield; file</w:t>
      </w:r>
    </w:p>
    <w:p>
      <w:pPr>
        <w:spacing w:after="120"/>
      </w:pPr>
      <w:r>
        <w:rPr>
          <w:b w:val="0"/>
          <w:i w:val="0"/>
        </w:rPr>
        <w:t>From: James Osei</w:t>
      </w:r>
    </w:p>
    <w:p>
      <w:pPr>
        <w:spacing w:after="120"/>
      </w:pPr>
      <w:r>
        <w:rPr>
          <w:b w:val="0"/>
          <w:i w:val="0"/>
        </w:rPr>
        <w:t>Date: 18 February 2026</w:t>
      </w:r>
    </w:p>
    <w:p>
      <w:pPr>
        <w:spacing w:after="120"/>
      </w:pPr>
      <w:r>
        <w:rPr>
          <w:b w:val="0"/>
          <w:i w:val="0"/>
        </w:rPr>
        <w:t>Re: Project Lattice – review of the Group's existing security and guarantee package</w:t>
      </w:r>
    </w:p>
    <w:p>
      <w:pPr>
        <w:pStyle w:val="Heading1"/>
      </w:pPr>
      <w:r>
        <w:t>1.  Introduction and scope</w:t>
      </w:r>
    </w:p>
    <w:p>
      <w:pPr>
        <w:spacing w:after="120"/>
      </w:pPr>
      <w:r>
        <w:rPr>
          <w:b w:val="0"/>
          <w:i w:val="0"/>
        </w:rPr>
        <w:t>This memorandum summarises our review of the security and guarantees granted by the Group in favour of Calderbank Mercantile Bank plc under and in connection with the Facilities Agreement dated 19 March 2023 (the “Facilities Agreement”). The purpose of the review is to confirm the validity, scope and perfection of the existing security ahead of the proposed amendment and restatement and the grant of the new super-senior facility, and to identify any refresh or additional security that the Bank is likely to require.</w:t>
      </w:r>
    </w:p>
    <w:p>
      <w:pPr>
        <w:pStyle w:val="Heading1"/>
      </w:pPr>
      <w:r>
        <w:t>2.  The security documents reviewed</w:t>
      </w:r>
    </w:p>
    <w:p>
      <w:pPr>
        <w:pStyle w:val="ListBullet"/>
      </w:pPr>
      <w:r>
        <w:t>Debenture dated 19 March 2023 granted by Pennington Industries Limited in favour of the Bank as Security Trustee, creating fixed and floating charges over the whole of the Company's undertaking and assets.</w:t>
      </w:r>
    </w:p>
    <w:p>
      <w:pPr>
        <w:pStyle w:val="ListBullet"/>
      </w:pPr>
      <w:r>
        <w:t>Debentures dated 19 March 2023 granted by each of Pennington Pumps Limited and Pennington Fluid Systems Limited (the “Guarantors”) on materially identical terms.</w:t>
      </w:r>
    </w:p>
    <w:p>
      <w:pPr>
        <w:pStyle w:val="ListBullet"/>
      </w:pPr>
      <w:r>
        <w:t>Composite Guarantee and Indemnity dated 19 March 2023 by which each Obligor guarantees the obligations of the others (the cross-guarantee).</w:t>
      </w:r>
    </w:p>
    <w:p>
      <w:pPr>
        <w:pStyle w:val="ListBullet"/>
      </w:pPr>
      <w:r>
        <w:t>Share Charge dated 19 March 2023 over the shares held by Pennington Industries Limited in each Guarantor.</w:t>
      </w:r>
    </w:p>
    <w:p>
      <w:pPr>
        <w:pStyle w:val="ListBullet"/>
      </w:pPr>
      <w:r>
        <w:t>Account control / charge over the Group's principal bank accounts held with the Bank.</w:t>
      </w:r>
    </w:p>
    <w:p>
      <w:pPr>
        <w:pStyle w:val="Heading1"/>
      </w:pPr>
      <w:r>
        <w:t>3.  Perfection and registration</w:t>
      </w:r>
    </w:p>
    <w:p>
      <w:pPr>
        <w:spacing w:after="120"/>
      </w:pPr>
      <w:r>
        <w:rPr>
          <w:b w:val="0"/>
          <w:i w:val="0"/>
        </w:rPr>
        <w:t>Each of the debentures and the share charge was registered at Companies House under section 859A of the Companies Act 2006 within the 21-day period, and certificates of registration (Form MR01) are on file. We have reviewed up-to-date charges registers for each Obligor: the only registered charges are those in favour of the Bank, save for a purchase-money charge in favour of an asset-finance provider over certain CNC machine tools at the Kettering site, which ranks ahead of the floating charge as to those specific assets only. No fixed-charge assets are affected.</w:t>
      </w:r>
    </w:p>
    <w:p>
      <w:pPr>
        <w:pStyle w:val="Heading1"/>
      </w:pPr>
      <w:r>
        <w:t>4.  Findings</w:t>
      </w:r>
    </w:p>
    <w:p>
      <w:pPr>
        <w:spacing w:after="120"/>
      </w:pPr>
      <w:r>
        <w:rPr>
          <w:b w:val="0"/>
          <w:i w:val="0"/>
        </w:rPr>
        <w:t>Our principal findings are as follows:</w:t>
      </w:r>
    </w:p>
    <w:p>
      <w:pPr>
        <w:pStyle w:val="ListBullet"/>
      </w:pPr>
      <w:r>
        <w:t>The existing security is, in our view, valid and binding and was duly perfected. There is no material vulnerability to challenge on grounds of registration or capacity.</w:t>
      </w:r>
    </w:p>
    <w:p>
      <w:pPr>
        <w:pStyle w:val="ListBullet"/>
      </w:pPr>
      <w:r>
        <w:t>The fixed/floating characterisation in the debentures follows market-standard drafting; the book-debt provisions are unlikely on current authority to be re-characterised as floating provided the control mechanisms are operated, although in practice collections have not been swept to a blocked account.</w:t>
      </w:r>
    </w:p>
    <w:p>
      <w:pPr>
        <w:pStyle w:val="ListBullet"/>
      </w:pPr>
      <w:r>
        <w:t>The cross-guarantee is comprehensive and extends to “all monies” obligations, which will pick up the new super-senior facility without amendment, although the Bank is likely to require a confirmation deed for good order.</w:t>
      </w:r>
    </w:p>
    <w:p>
      <w:pPr>
        <w:pStyle w:val="ListBullet"/>
      </w:pPr>
      <w:r>
        <w:t>An intercreditor agreement will be required to document the super-senior ranking of the new money facility ahead of the existing facilities, as the existing documents do not contemplate tranching of enforcement proceeds.</w:t>
      </w:r>
    </w:p>
    <w:p>
      <w:pPr>
        <w:pStyle w:val="Heading1"/>
      </w:pPr>
      <w:r>
        <w:t>5.  Recommended security steps for the amendment</w:t>
      </w:r>
    </w:p>
    <w:p>
      <w:pPr>
        <w:spacing w:after="120"/>
      </w:pPr>
      <w:r>
        <w:rPr>
          <w:b w:val="0"/>
          <w:i w:val="0"/>
        </w:rPr>
        <w:t>We recommend that the amendment package include: (a) a security confirmation deed from each Obligor confirming the existing security extends to the amended and restated facilities and the new money; (b) a new intercreditor agreement; (c) operation of the book-debt control mechanism (blocked account) to support the fixed-charge characterisation; and (d) refreshed legal opinions on capacity, authority and enforceability. No wholly new security is, in our view, strictly necessary, but the Bank may seek to take a charge over a small number of unencumbered freehold titles at the Corby site, on which we will advise separately.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88888"/>
        <w:sz w:val="14"/>
      </w:rPr>
      <w:t>Whitfield Carter LLP is a limited liability partnership registered in England and Wales (registered number OC418862). A list of members is available at the registered office. Authorised and regulated by the Solicitors Regulation Authority. This communication is confidential and may be legally privileged.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