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32"/>
        </w:rPr>
        <w:t>Whitfield Carter LLP</w:t>
      </w:r>
    </w:p>
    <w:p>
      <w:r>
        <w:rPr>
          <w:color w:val="666666"/>
          <w:sz w:val="16"/>
        </w:rPr>
        <w:t>Solicitors  |  22 Bishopsgate, London EC2N 4BQ  |  DX 134567 Bishopsgate</w:t>
      </w:r>
    </w:p>
    <w:p>
      <w:r>
        <w:rPr>
          <w:color w:val="666666"/>
          <w:sz w:val="16"/>
        </w:rPr>
        <w:t>T +44 (0)20 7946 0100   F +44 (0)20 7946 0101   www.whitfieldcarter.com</w:t>
      </w:r>
    </w:p>
    <w:p>
      <w:pPr>
        <w:spacing w:before="40"/>
        <w:pBdr>
          <w:bottom w:val="single" w:sz="8" w:space="1" w:color="1F2A44"/>
        </w:pBdr>
      </w:pPr>
    </w:p>
    <w:p>
      <w:pPr>
        <w:spacing w:before="160"/>
      </w:pPr>
      <w:r>
        <w:t>Our ref: SW/jo/PEN-0134</w:t>
        <w:br/>
      </w:r>
      <w:r>
        <w:t>20 May 2026</w:t>
      </w:r>
    </w:p>
    <w:p>
      <w:pPr>
        <w:spacing w:after="120"/>
      </w:pPr>
      <w:r>
        <w:rPr>
          <w:b w:val="0"/>
          <w:i w:val="0"/>
        </w:rPr>
      </w:r>
    </w:p>
    <w:p>
      <w:pPr>
        <w:spacing w:after="120"/>
      </w:pPr>
      <w:r>
        <w:rPr>
          <w:b/>
          <w:i w:val="0"/>
        </w:rPr>
        <w:t>STRICTLY PRIVATE &amp; CONFIDENTIAL</w:t>
      </w:r>
    </w:p>
    <w:p>
      <w:pPr>
        <w:spacing w:after="120"/>
      </w:pPr>
      <w:r>
        <w:rPr>
          <w:b w:val="0"/>
          <w:i w:val="0"/>
        </w:rPr>
        <w:t>Calderbank Mercantile Bank plc</w:t>
      </w:r>
    </w:p>
    <w:p>
      <w:pPr>
        <w:spacing w:after="120"/>
      </w:pPr>
      <w:r>
        <w:rPr>
          <w:b w:val="0"/>
          <w:i w:val="0"/>
        </w:rPr>
        <w:t>1 Calderbank Square, London EC3V 9LT</w:t>
      </w:r>
    </w:p>
    <w:p>
      <w:pPr>
        <w:spacing w:after="120"/>
      </w:pPr>
      <w:r>
        <w:rPr>
          <w:b w:val="0"/>
          <w:i w:val="0"/>
        </w:rPr>
        <w:t>For the attention of Eleanor Whitmore, Director, Restructuring &amp; Recoveries</w:t>
      </w:r>
    </w:p>
    <w:p>
      <w:pPr>
        <w:spacing w:after="120"/>
      </w:pPr>
      <w:r>
        <w:rPr>
          <w:b w:val="0"/>
          <w:i w:val="0"/>
        </w:rPr>
      </w:r>
    </w:p>
    <w:p>
      <w:pPr>
        <w:spacing w:after="120"/>
      </w:pPr>
      <w:r>
        <w:rPr>
          <w:b/>
          <w:i w:val="0"/>
        </w:rPr>
        <w:t>Dear Eleanor</w:t>
      </w:r>
    </w:p>
    <w:p>
      <w:pPr>
        <w:spacing w:after="120"/>
      </w:pPr>
      <w:r>
        <w:rPr>
          <w:b/>
          <w:i w:val="0"/>
        </w:rPr>
        <w:t>Project Lattice – super-senior ranking and waterfall (side letter)</w:t>
      </w:r>
    </w:p>
    <w:p>
      <w:pPr>
        <w:spacing w:after="120"/>
      </w:pPr>
      <w:r>
        <w:rPr>
          <w:b w:val="0"/>
          <w:i w:val="0"/>
        </w:rPr>
        <w:t>We refer to the proposed amendment and restatement of the Facilities Agreement dated 19 March 2023 and to the new super-senior term facility of £4.0 million to be made available to Pennington Industries Limited. This letter records certain agreed points on the ranking of the new money and the application of enforcement proceeds, which will be reflected in full in the Intercreditor Agreement to be entered into on the Effective Date. This letter is subject to contract.</w:t>
      </w:r>
    </w:p>
    <w:p>
      <w:pPr>
        <w:pStyle w:val="Heading2"/>
      </w:pPr>
      <w:r>
        <w:t>1.  Super-senior ranking</w:t>
      </w:r>
    </w:p>
    <w:p>
      <w:pPr>
        <w:spacing w:after="120"/>
      </w:pPr>
      <w:r>
        <w:rPr>
          <w:b w:val="0"/>
          <w:i w:val="0"/>
        </w:rPr>
        <w:t>It is agreed that the new super-senior term facility (together with interest, fees and costs in respect of it) will rank ahead of the existing term loan, revolving credit facility and overdraft as to the proceeds of enforcement of the Security, subject to the prior payment of the costs and expenses of any receiver or the Security Trustee.</w:t>
      </w:r>
    </w:p>
    <w:p>
      <w:pPr>
        <w:pStyle w:val="Heading2"/>
      </w:pPr>
      <w:r>
        <w:t>2.  Application of proceeds (waterfall)</w:t>
      </w:r>
    </w:p>
    <w:p>
      <w:pPr>
        <w:spacing w:after="120"/>
      </w:pPr>
      <w:r>
        <w:rPr>
          <w:b w:val="0"/>
          <w:i w:val="0"/>
        </w:rPr>
        <w:t>The proceeds of enforcement of the Security will be applied in the following order: (a) the costs and expenses of the Security Trustee and any receiver; (b) amounts owing in respect of the super-senior facility; (c) amounts owing in respect of the existing facilities pari passu; and (d) the surplus (if any) to the person entitled to it.</w:t>
      </w:r>
    </w:p>
    <w:p>
      <w:pPr>
        <w:pStyle w:val="Heading2"/>
      </w:pPr>
      <w:r>
        <w:t>3.  Standstill on the existing facilities</w:t>
      </w:r>
    </w:p>
    <w:p>
      <w:pPr>
        <w:spacing w:after="120"/>
      </w:pPr>
      <w:r>
        <w:rPr>
          <w:b w:val="0"/>
          <w:i w:val="0"/>
        </w:rPr>
        <w:t>Save during a continuing enforcement, the existing facilities will not be subject to any payment standstill, and scheduled payments of interest and principal on the existing facilities may continue to be made in the ordinary course unless and until an acceleration event has occurred and is continuing.</w:t>
      </w:r>
    </w:p>
    <w:p>
      <w:pPr>
        <w:pStyle w:val="Heading2"/>
      </w:pPr>
      <w:r>
        <w:t>4.  Status of this letter</w:t>
      </w:r>
    </w:p>
    <w:p>
      <w:pPr>
        <w:spacing w:after="120"/>
      </w:pPr>
      <w:r>
        <w:rPr>
          <w:b w:val="0"/>
          <w:i w:val="0"/>
        </w:rPr>
        <w:t>This letter is intended to record the parties' agreement in principle and will be superseded by the Intercreditor Agreement. To the extent of any inconsistency, the Intercreditor Agreement will prevail. This letter is governed by English law.</w:t>
      </w:r>
    </w:p>
    <w:p>
      <w:pPr>
        <w:spacing w:after="120"/>
      </w:pPr>
      <w:r>
        <w:rPr>
          <w:b w:val="0"/>
          <w:i w:val="0"/>
        </w:rPr>
      </w:r>
    </w:p>
    <w:p>
      <w:pPr>
        <w:spacing w:after="120"/>
      </w:pPr>
      <w:r>
        <w:rPr>
          <w:b w:val="0"/>
          <w:i w:val="0"/>
        </w:rPr>
        <w:t>Please confirm your agreement by countersigning the enclosed copy.</w:t>
      </w:r>
    </w:p>
    <w:p>
      <w:pPr>
        <w:spacing w:after="120"/>
      </w:pPr>
      <w:r>
        <w:rPr>
          <w:b w:val="0"/>
          <w:i w:val="0"/>
        </w:rPr>
      </w:r>
    </w:p>
    <w:p>
      <w:pPr>
        <w:spacing w:after="120"/>
      </w:pPr>
      <w:r>
        <w:rPr>
          <w:b w:val="0"/>
          <w:i w:val="0"/>
        </w:rPr>
        <w:t>Yours sincerely</w:t>
      </w:r>
    </w:p>
    <w:p>
      <w:pPr>
        <w:spacing w:after="120"/>
      </w:pPr>
      <w:r>
        <w:rPr>
          <w:b w:val="0"/>
          <w:i w:val="0"/>
        </w:rPr>
      </w:r>
    </w:p>
    <w:p>
      <w:pPr>
        <w:spacing w:after="120"/>
      </w:pPr>
      <w:r>
        <w:rPr>
          <w:b/>
          <w:i w:val="0"/>
        </w:rPr>
        <w:t>Sarah Whitfield</w:t>
      </w:r>
    </w:p>
    <w:p>
      <w:pPr>
        <w:spacing w:after="120"/>
      </w:pPr>
      <w:r>
        <w:rPr>
          <w:b w:val="0"/>
          <w:i w:val="0"/>
        </w:rPr>
        <w:t>Partner, for and on behalf of Whitfield Carter LLP</w:t>
      </w:r>
    </w:p>
    <w:p>
      <w:pPr>
        <w:spacing w:after="120"/>
      </w:pPr>
      <w:r>
        <w:rPr>
          <w:b w:val="0"/>
          <w:i w:val="0"/>
        </w:rPr>
      </w:r>
    </w:p>
    <w:p>
      <w:pPr>
        <w:spacing w:after="120"/>
      </w:pPr>
      <w:r>
        <w:rPr>
          <w:b w:val="0"/>
          <w:i w:val="0"/>
        </w:rPr>
        <w:t>Agreed and accepted for and on behalf of Calderbank Mercantile Bank plc:</w:t>
      </w:r>
    </w:p>
    <w:p>
      <w:pPr>
        <w:spacing w:after="120"/>
      </w:pPr>
      <w:r>
        <w:rPr>
          <w:b w:val="0"/>
          <w:i w:val="0"/>
        </w:rPr>
        <w:t>Signed: ........................................   Name: Eleanor Whitmore   Date: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Whitfield Carter LLP is a limited liability partnership registered in England and Wales (registered number OC418862). A list of members is available at the registered office. Authorised and regulated by the Solicitors Regulation Authority. This communication is 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