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18"/>
          <w:szCs w:val="18"/>
        </w:rPr>
        <w:t xml:space="preserve">PROJECT MALLORY</w:t>
      </w:r>
    </w:p>
    <w:p>
      <w:pPr>
        <w:pStyle w:val="Heading1"/>
      </w:pPr>
      <w:r>
        <w:t xml:space="preserve">Conditions Precedent Checklist</w:t>
      </w:r>
    </w:p>
    <w:p>
      <w:pPr>
        <w:spacing w:after="120" w:line="276"/>
      </w:pPr>
      <w:r>
        <w:rPr>
          <w:i/>
          <w:iCs/>
        </w:rPr>
        <w:t xml:space="preserve">Amendment and Restatement of the £42,000,000 Facilities Agreement dated 14 March 2022</w:t>
      </w:r>
    </w:p>
    <w:p>
      <w:pPr>
        <w:spacing w:after="120" w:line="276"/>
      </w:pPr>
      <w:r>
        <w:rPr>
          <w:i/>
          <w:iCs/>
        </w:rPr>
        <w:t xml:space="preserve">Borrower: Pennington Industries Limited  |  Lender: Sterling Commercial Bank plc</w:t>
      </w:r>
    </w:p>
    <w:p>
      <w:pPr>
        <w:spacing w:after="120" w:line="276"/>
      </w:pPr>
      <w:r>
        <w:rPr>
          <w:i/>
          <w:iCs/>
        </w:rPr>
        <w:t xml:space="preserve">Prepared by Whitfield Carter LLP  |  Last updated: 24 February 2026  |  Target signing: 27 February 2026</w:t>
      </w:r>
    </w:p>
    <w:p>
      <w:r>
        <w:t xml:space="preserve"/>
      </w:r>
    </w:p>
    <w:p>
      <w:pPr>
        <w:spacing w:after="120" w:line="276"/>
      </w:pPr>
      <w:r>
        <w:rPr>
          <w:sz w:val="16"/>
          <w:szCs w:val="16"/>
        </w:rPr>
        <w:t xml:space="preserve">Status key: G = received / satisfied; A = in progress / agreed form; R = outstanding.</w:t>
      </w:r>
    </w:p>
    <w:p>
      <w:r>
        <w:t xml:space="preserve"/>
      </w:r>
    </w:p>
    <w:p>
      <w:pPr>
        <w:pStyle w:val="Heading2"/>
      </w:pPr>
      <w:r>
        <w:t xml:space="preserve">Part 1 — Corporate authorisations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2100"/>
        <w:gridCol w:w="1526"/>
      </w:tblGrid>
      <w:tr>
        <w:trPr>
          <w:tblHeader/>
        </w:trPr>
        <w:tc>
          <w:tcPr>
            <w:tcW w:type="dxa" w:w="5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Item</w:t>
            </w:r>
          </w:p>
        </w:tc>
        <w:tc>
          <w:tcPr>
            <w:tcW w:type="dxa" w:w="21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Responsible</w:t>
            </w:r>
          </w:p>
        </w:tc>
        <w:tc>
          <w:tcPr>
            <w:tcW w:type="dxa" w:w="1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Status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Certified copy of constitutional documents of each Obligor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 / WC</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Board resolutions of each Obligor approving the A&amp;R Agreement and security confirmation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Shareholder resolution approving the £2.0m equity subscription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Specimen signatures of authorised signatories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Certificate of solvency / directors' certificate (no insolvency)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bl>
    <w:p>
      <w:r>
        <w:t xml:space="preserve"/>
      </w:r>
    </w:p>
    <w:p>
      <w:pPr>
        <w:pStyle w:val="Heading2"/>
      </w:pPr>
      <w:r>
        <w:t xml:space="preserve">Part 2 — Finance and security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2100"/>
        <w:gridCol w:w="1526"/>
      </w:tblGrid>
      <w:tr>
        <w:trPr>
          <w:tblHeader/>
        </w:trPr>
        <w:tc>
          <w:tcPr>
            <w:tcW w:type="dxa" w:w="5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Item</w:t>
            </w:r>
          </w:p>
        </w:tc>
        <w:tc>
          <w:tcPr>
            <w:tcW w:type="dxa" w:w="21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Responsible</w:t>
            </w:r>
          </w:p>
        </w:tc>
        <w:tc>
          <w:tcPr>
            <w:tcW w:type="dxa" w:w="1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Status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Amendment and Restatement Agreement (executed)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All parties</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New Facility C super-senior term facility documentation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Drummond Hale / WC</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Confirmation of existing debenture and guarantees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WC</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Amended and restated intercreditor / priorities deed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Drummond Hale</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CH MR01 filings for confirmed/new security (within 21 days)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WC</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R</w:t>
            </w:r>
          </w:p>
        </w:tc>
      </w:tr>
    </w:tbl>
    <w:p>
      <w:r>
        <w:t xml:space="preserve"/>
      </w:r>
    </w:p>
    <w:p>
      <w:pPr>
        <w:pStyle w:val="Heading2"/>
      </w:pPr>
      <w:r>
        <w:t xml:space="preserve">Part 3 — Conditions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2100"/>
        <w:gridCol w:w="1526"/>
      </w:tblGrid>
      <w:tr>
        <w:trPr>
          <w:tblHeader/>
        </w:trPr>
        <w:tc>
          <w:tcPr>
            <w:tcW w:type="dxa" w:w="5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Item</w:t>
            </w:r>
          </w:p>
        </w:tc>
        <w:tc>
          <w:tcPr>
            <w:tcW w:type="dxa" w:w="21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Responsible</w:t>
            </w:r>
          </w:p>
        </w:tc>
        <w:tc>
          <w:tcPr>
            <w:tcW w:type="dxa" w:w="1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Status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Independent Business Review (final) addressed to the Lender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Marlow Tax</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13-week cashflow forecast and turnaround plan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G</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Evidence of receipt of £2.0m equity into the Company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R</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Payment of amendment fee (£315,000) and Facility C fee (£120,000)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Company</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Legal opinion of Whitfield Carter LLP (capacity and enforceability)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WC</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Funds flow statement agreed by all parties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WC / Sterling</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A</w:t>
            </w:r>
          </w:p>
        </w:tc>
      </w:tr>
    </w:tbl>
    <w:p>
      <w:r>
        <w:t xml:space="preserve"/>
      </w:r>
    </w:p>
    <w:p>
      <w:pPr>
        <w:spacing w:after="120" w:line="276"/>
      </w:pPr>
      <w:r>
        <w:rPr>
          <w:sz w:val="16"/>
          <w:szCs w:val="16"/>
        </w:rPr>
        <w:t xml:space="preserve">Notes: CH MR01 filings to be completed within 21 days of execution to preserve security priority under section 859A Companies Act 2006. The directors' certificate of solvency is to be dated the date of signing and supported by the final IBR.</w:t>
      </w:r>
    </w:p>
    <w:p>
      <w:r>
        <w:t xml:space="preserve"/>
      </w:r>
    </w:p>
    <w:p>
      <w:pPr>
        <w:spacing w:after="120" w:line="276"/>
      </w:pPr>
      <w:r>
        <w:rPr>
          <w:i/>
          <w:iCs/>
          <w:sz w:val="14"/>
          <w:szCs w:val="14"/>
        </w:rPr>
        <w:t xml:space="preserve">Whitfield Carter LLP is a limited liability partnership registered in England and Wales. This communication is confidential and may be legally privileged.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2026-06-28T07:19:38.788Z</dcterms:created>
  <dcterms:modified xsi:type="dcterms:W3CDTF">2026-06-28T07:19:38.788Z</dcterms:modified>
</cp:coreProperties>
</file>

<file path=docProps/custom.xml><?xml version="1.0" encoding="utf-8"?>
<Properties xmlns="http://schemas.openxmlformats.org/officeDocument/2006/custom-properties" xmlns:vt="http://schemas.openxmlformats.org/officeDocument/2006/docPropsVTypes"/>
</file>