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Strictly Private &amp; Confidential</w:t>
      </w:r>
    </w:p>
    <w:p>
      <w:pPr>
        <w:spacing w:after="120" w:line="276"/>
      </w:pPr>
      <w:r>
        <w:t xml:space="preserve">By email and post</w:t>
      </w:r>
    </w:p>
    <w:p>
      <w:r>
        <w:t xml:space="preserve"/>
      </w:r>
    </w:p>
    <w:p>
      <w:pPr>
        <w:spacing w:after="120" w:line="276"/>
      </w:pPr>
      <w:r>
        <w:t xml:space="preserve">The Directors</w:t>
      </w:r>
    </w:p>
    <w:p>
      <w:pPr>
        <w:spacing w:after="120" w:line="276"/>
      </w:pPr>
      <w:r>
        <w:t xml:space="preserve">Pennington Industries Limited</w:t>
      </w:r>
    </w:p>
    <w:p>
      <w:pPr>
        <w:spacing w:after="120" w:line="276"/>
      </w:pPr>
      <w:r>
        <w:t xml:space="preserve">Pennington House, Foundry Road, Sheffield S9 1XH</w:t>
      </w:r>
    </w:p>
    <w:p>
      <w:r>
        <w:t xml:space="preserve"/>
      </w:r>
    </w:p>
    <w:p>
      <w:pPr>
        <w:spacing w:after="120" w:line="276"/>
      </w:pPr>
      <w:r>
        <w:t xml:space="preserve">18 November 2025</w:t>
      </w:r>
    </w:p>
    <w:p>
      <w:r>
        <w:t xml:space="preserve"/>
      </w:r>
    </w:p>
    <w:p>
      <w:pPr>
        <w:spacing w:after="120" w:line="276"/>
      </w:pPr>
      <w:r>
        <w:rPr>
          <w:b/>
          <w:bCs/>
        </w:rPr>
        <w:t xml:space="preserve">Dear Sirs</w:t>
      </w:r>
    </w:p>
    <w:p>
      <w:pPr>
        <w:spacing w:after="120" w:line="276"/>
      </w:pPr>
      <w:r>
        <w:rPr>
          <w:b/>
          <w:bCs/>
        </w:rPr>
        <w:t xml:space="preserve">Project Mallory — Financial restructuring of the Group's senior facilities (our ref: WC-00161)</w:t>
      </w:r>
    </w:p>
    <w:p>
      <w:pPr>
        <w:spacing w:after="120" w:line="276"/>
      </w:pPr>
      <w:r>
        <w:t xml:space="preserve">Thank you for instructing Whitfield Carter LLP (the “Firm”, “we” or “us”) in connection with the proposed restructuring and amendment of the senior secured facilities made available to Pennington Industries Limited (the “Company”) and certain of its subsidiaries by Sterling Commercial Bank plc (the “Lender”). This letter, together with our enclosed standard terms of business, sets out the basis on which we will act for you on this matter (the “Engagement”).</w:t>
      </w:r>
    </w:p>
    <w:p>
      <w:pPr>
        <w:pStyle w:val="Heading2"/>
      </w:pPr>
      <w:r>
        <w:t xml:space="preserve">1.  Background and scope</w:t>
      </w:r>
    </w:p>
    <w:p>
      <w:pPr>
        <w:spacing w:after="120" w:line="276"/>
      </w:pPr>
      <w:r>
        <w:t xml:space="preserve">We understand that on 7 November 2025 the Lender issued a reservation of rights letter following the Company's breach of the net leverage covenant tested at the September 2025 quarter end. The Group's senior debt currently comprises a term loan and revolving credit facility in an aggregate committed amount of £42.0 million (the “Existing Facilities”). Our instructions are to advise the Company on a consensual amendment and restatement of the Existing Facilities, the negotiation of an interim standstill, the introduction of new money, and the related corporate, security and governance steps.</w:t>
      </w:r>
    </w:p>
    <w:p>
      <w:pPr>
        <w:spacing w:after="120" w:line="276"/>
      </w:pPr>
      <w:r>
        <w:t xml:space="preserve">The scope of the Engagement comprises:</w:t>
      </w:r>
    </w:p>
    <w:p>
      <w:pPr>
        <w:pStyle w:val="ListParagraph"/>
        <w:numPr>
          <w:ilvl w:val="0"/>
          <w:numId w:val="2"/>
        </w:numPr>
        <w:spacing w:after="60"/>
      </w:pPr>
      <w:r>
        <w:t xml:space="preserve">advising on the Company's rights and obligations under the Existing Facilities and the implications of the covenant breach;</w:t>
      </w:r>
    </w:p>
    <w:p>
      <w:pPr>
        <w:pStyle w:val="ListParagraph"/>
        <w:numPr>
          <w:ilvl w:val="0"/>
          <w:numId w:val="2"/>
        </w:numPr>
        <w:spacing w:after="60"/>
      </w:pPr>
      <w:r>
        <w:t xml:space="preserve">negotiating and documenting a standstill and reservation arrangement with the Lender;</w:t>
      </w:r>
    </w:p>
    <w:p>
      <w:pPr>
        <w:pStyle w:val="ListParagraph"/>
        <w:numPr>
          <w:ilvl w:val="0"/>
          <w:numId w:val="2"/>
        </w:numPr>
        <w:spacing w:after="60"/>
      </w:pPr>
      <w:r>
        <w:t xml:space="preserve">preparing and negotiating an amendment and restatement agreement in respect of the Existing Facilities, including a covenant reset and a new super-senior facility;</w:t>
      </w:r>
    </w:p>
    <w:p>
      <w:pPr>
        <w:pStyle w:val="ListParagraph"/>
        <w:numPr>
          <w:ilvl w:val="0"/>
          <w:numId w:val="2"/>
        </w:numPr>
        <w:spacing w:after="60"/>
      </w:pPr>
      <w:r>
        <w:t xml:space="preserve">advising on directors' duties in the zone of potential insolvency and on the conditions precedent and security confirmation steps required to implement the restructuring; and</w:t>
      </w:r>
    </w:p>
    <w:p>
      <w:pPr>
        <w:pStyle w:val="ListParagraph"/>
        <w:numPr>
          <w:ilvl w:val="0"/>
          <w:numId w:val="2"/>
        </w:numPr>
        <w:spacing w:after="60"/>
      </w:pPr>
      <w:r>
        <w:t xml:space="preserve">liaising with the Lender's legal advisers, Drummond Hale LLP, and with the independent business reviewer, Marlow Tax &amp; Advisory Ltd.</w:t>
      </w:r>
    </w:p>
    <w:p>
      <w:pPr>
        <w:spacing w:after="120" w:line="276"/>
      </w:pPr>
      <w:r>
        <w:t xml:space="preserve">The Engagement does not include the conduct of any contentious insolvency proceedings, tax structuring advice (on which Marlow Tax &amp; Advisory is separately retained), or advice on the laws of any jurisdiction other than England and Wales.</w:t>
      </w:r>
    </w:p>
    <w:p>
      <w:pPr>
        <w:pStyle w:val="Heading2"/>
      </w:pPr>
      <w:r>
        <w:t xml:space="preserve">2.  Our team</w:t>
      </w:r>
    </w:p>
    <w:p>
      <w:pPr>
        <w:spacing w:after="120" w:line="276"/>
      </w:pPr>
      <w:r>
        <w:t xml:space="preserve">The matter will be led by Sarah Whitfield (Partner), supported by James Osei (Senior Associate) and Elena Marchetti (Associate). Sarah Whitfield has overall responsibility for the Engagement and will be your principal point of contact.</w:t>
      </w:r>
    </w:p>
    <w:p>
      <w:pPr>
        <w:pStyle w:val="Heading2"/>
      </w:pPr>
      <w:r>
        <w:t xml:space="preserve">3.  Fees and disbursements</w:t>
      </w:r>
    </w:p>
    <w:p>
      <w:pPr>
        <w:spacing w:after="120" w:line="276"/>
      </w:pPr>
      <w:r>
        <w:t xml:space="preserve">Our fees are charged primarily by reference to time spent at our current hourly rates: Partner £695, Senior Associate £470 and Associate £340 (each plus VAT). Given the consensual nature of the proposed restructuring, we estimate our fees for the Engagement to completion of the amendment and restatement at between £85,000 and £110,000 plus VAT and disbursements, on the assumptions set out in the enclosed terms. We will keep you informed if it appears that this estimate is likely to be exceeded.</w:t>
      </w:r>
    </w:p>
    <w:p>
      <w:pPr>
        <w:pStyle w:val="Heading2"/>
      </w:pPr>
      <w:r>
        <w:t xml:space="preserve">4.  Conflicts and confidentiality</w:t>
      </w:r>
    </w:p>
    <w:p>
      <w:pPr>
        <w:spacing w:after="120" w:line="276"/>
      </w:pPr>
      <w:r>
        <w:t xml:space="preserve">We have carried out a conflicts check and are not aware of any conflict of interest that would prevent us from acting. We will keep your affairs confidential in accordance with our professional obligations and the enclosed terms of business.</w:t>
      </w:r>
    </w:p>
    <w:p>
      <w:pPr>
        <w:spacing w:after="120" w:line="276"/>
      </w:pPr>
      <w:r>
        <w:t xml:space="preserve">Please confirm your acceptance of this letter and the enclosed terms by signing and returning the enclosed copy. We look forward to working with you on this matter.</w:t>
      </w:r>
    </w:p>
    <w:p>
      <w:r>
        <w:t xml:space="preserve"/>
      </w:r>
    </w:p>
    <w:p>
      <w:pPr>
        <w:spacing w:after="120" w:line="276"/>
      </w:pPr>
      <w:r>
        <w:t xml:space="preserve">Yours faithfully,</w:t>
      </w:r>
    </w:p>
    <w:p>
      <w:r>
        <w:t xml:space="preserve"/>
      </w:r>
    </w:p>
    <w:p>
      <w:r>
        <w:t xml:space="preserve"/>
      </w:r>
    </w:p>
    <w:p>
      <w:r>
        <w:rPr>
          <w:b/>
          <w:bCs/>
        </w:rPr>
        <w:t xml:space="preserve">Sarah Whitfield</w:t>
      </w:r>
    </w:p>
    <w:p>
      <w:pPr>
        <w:spacing w:after="120" w:line="276"/>
      </w:pPr>
      <w:r>
        <w:t xml:space="preserve">Partner</w:t>
      </w:r>
    </w:p>
    <w:p>
      <w:pPr>
        <w:spacing w:after="120" w:line="276"/>
      </w:pPr>
      <w:r>
        <w:t xml:space="preserve">For and on behalf of Whitfield Carter LLP</w:t>
      </w:r>
    </w:p>
    <w:p>
      <w:r>
        <w:t xml:space="preserve"/>
      </w:r>
    </w:p>
    <w:p>
      <w:pPr>
        <w:spacing w:after="120" w:line="276"/>
      </w:pPr>
      <w:r>
        <w:rPr>
          <w:i/>
          <w:iCs/>
          <w:sz w:val="14"/>
          <w:szCs w:val="14"/>
        </w:rPr>
        <w:t xml:space="preserve">Whitfield Carter LLP is a limited liability partnership registered in England and Wales. This communication is confidential and may be legally privileged.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STRICTLY PRIVATE &amp;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4"/>
        <w:szCs w:val="24"/>
      </w:rPr>
      <w:t xml:space="preserve">Whitfield Carter LLP</w:t>
    </w:r>
  </w:p>
  <w:p>
    <w:pPr>
      <w:spacing w:after="0"/>
      <w:jc w:val="right"/>
    </w:pPr>
    <w:r>
      <w:rPr>
        <w:color w:val="555555"/>
        <w:sz w:val="16"/>
        <w:szCs w:val="16"/>
      </w:rPr>
      <w:t xml:space="preserve">22 Bishopsgate, London EC2N 4BQ</w:t>
    </w:r>
  </w:p>
  <w:p>
    <w:pPr>
      <w:pBdr>
        <w:bottom w:val="single" w:color="1F3864" w:sz="6" w:space="1"/>
      </w:pBdr>
      <w:spacing w:after="120"/>
      <w:jc w:val="right"/>
    </w:pPr>
    <w:r>
      <w:rPr>
        <w:color w:val="555555"/>
        <w:sz w:val="14"/>
        <w:szCs w:val="14"/>
      </w:rPr>
      <w:t xml:space="preserve">T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2026-06-28T07:19:38.517Z</dcterms:created>
  <dcterms:modified xsi:type="dcterms:W3CDTF">2026-06-28T07:19:38.517Z</dcterms:modified>
</cp:coreProperties>
</file>

<file path=docProps/custom.xml><?xml version="1.0" encoding="utf-8"?>
<Properties xmlns="http://schemas.openxmlformats.org/officeDocument/2006/custom-properties" xmlns:vt="http://schemas.openxmlformats.org/officeDocument/2006/docPropsVTypes"/>
</file>