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C00000"/>
          <w:sz w:val="18"/>
          <w:szCs w:val="18"/>
        </w:rPr>
        <w:t xml:space="preserve">PRIVILEGED &amp; CONFIDENTIAL — PREPARED FOR THE BOARD</w:t>
      </w:r>
    </w:p>
    <w:p>
      <w:r>
        <w:t xml:space="preserve"/>
      </w:r>
    </w:p>
    <w:p>
      <w:pPr>
        <w:pStyle w:val="Heading1"/>
      </w:pPr>
      <w:r>
        <w:t xml:space="preserve">Project Mallory — Restructuring Options Paper</w:t>
      </w:r>
    </w:p>
    <w:p>
      <w:pPr>
        <w:spacing w:after="120" w:line="276"/>
      </w:pPr>
      <w:r>
        <w:rPr>
          <w:i/>
          <w:iCs/>
        </w:rPr>
        <w:t xml:space="preserve">Prepared by: Whitfield Carter LLP for the Board of Pennington Industries Limited</w:t>
      </w:r>
    </w:p>
    <w:p>
      <w:pPr>
        <w:spacing w:after="120" w:line="276"/>
      </w:pPr>
      <w:r>
        <w:rPr>
          <w:i/>
          <w:iCs/>
        </w:rPr>
        <w:t xml:space="preserve">Date: 26 November 2025  |  Status: Draft for discussion at the board meeting on 1 December 2025</w:t>
      </w:r>
    </w:p>
    <w:p>
      <w:r>
        <w:t xml:space="preserve"/>
      </w:r>
    </w:p>
    <w:p>
      <w:pPr>
        <w:pStyle w:val="Heading2"/>
      </w:pPr>
      <w:r>
        <w:t xml:space="preserve">1.  Purpose</w:t>
      </w:r>
    </w:p>
    <w:p>
      <w:pPr>
        <w:spacing w:after="120" w:line="276"/>
      </w:pPr>
      <w:r>
        <w:t xml:space="preserve">This paper summarises the Company's current financial position, the consequences of the covenant breach notified by Sterling Commercial Bank plc (the “Lender”) on 7 November 2025, and the principal options available to the Board. It is intended to support the Board's decision on the restructuring strategy and should be read with the Independent Business Review being prepared by Marlow Tax &amp; Advisory Ltd.</w:t>
      </w:r>
    </w:p>
    <w:p>
      <w:pPr>
        <w:pStyle w:val="Heading2"/>
      </w:pPr>
      <w:r>
        <w:t xml:space="preserve">2.  Current position</w:t>
      </w:r>
    </w:p>
    <w:p>
      <w:pPr>
        <w:spacing w:after="120" w:line="276"/>
      </w:pPr>
      <w:r>
        <w:t xml:space="preserve">The Group's senior secured debt comprises a £30.0 million term loan (“Facility A”) and a £12.0 million revolving credit facility (“the RCF”), in an aggregate committed amount of £42.0 million, provided under the facilities agreement dated 14 March 2022 (the “Existing Facilities Agreement”). At the September 2025 test date, net leverage was 4.8x against a covenant of 3.5x, and the interest cover ratio was 2.1x against a covenant of 3.0x. The breaches arose principally from a sharp fall in demand in the municipal water-pump segment and input-cost inflation that compressed margins in the second half of FY2025.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600"/>
        <w:gridCol w:w="1600"/>
        <w:gridCol w:w="1626"/>
      </w:tblGrid>
      <w:tr>
        <w:trPr>
          <w:tblHeader/>
        </w:trPr>
        <w:tc>
          <w:tcPr>
            <w:tcW w:type="dxa" w:w="42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19"/>
                <w:szCs w:val="19"/>
              </w:rPr>
              <w:t xml:space="preserve">Metric (Sep-25 test)</w:t>
            </w:r>
          </w:p>
        </w:tc>
        <w:tc>
          <w:tcPr>
            <w:tcW w:type="dxa" w:w="16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19"/>
                <w:szCs w:val="19"/>
              </w:rPr>
              <w:t xml:space="preserve">Covenant</w:t>
            </w:r>
          </w:p>
        </w:tc>
        <w:tc>
          <w:tcPr>
            <w:tcW w:type="dxa" w:w="1600"/>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19"/>
                <w:szCs w:val="19"/>
              </w:rPr>
              <w:t xml:space="preserve">Actual</w:t>
            </w:r>
          </w:p>
        </w:tc>
        <w:tc>
          <w:tcPr>
            <w:tcW w:type="dxa" w:w="1626"/>
            <w:tcBorders>
              <w:top w:val="single" w:color="999999" w:sz="1"/>
              <w:left w:val="single" w:color="999999" w:sz="1"/>
              <w:bottom w:val="single" w:color="999999" w:sz="1"/>
              <w:right w:val="single" w:color="999999" w:sz="1"/>
            </w:tcBorders>
            <w:shd w:fill="D9E2EC" w:val="clear"/>
            <w:tcMar>
              <w:top w:type="dxa" w:w="60"/>
              <w:left w:type="dxa" w:w="100"/>
              <w:bottom w:type="dxa" w:w="60"/>
              <w:right w:type="dxa" w:w="100"/>
            </w:tcMar>
          </w:tcPr>
          <w:p>
            <w:r>
              <w:rPr>
                <w:b/>
                <w:bCs/>
                <w:sz w:val="19"/>
                <w:szCs w:val="19"/>
              </w:rPr>
              <w:t xml:space="preserve">Headroom</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19"/>
                <w:szCs w:val="19"/>
              </w:rPr>
              <w:t xml:space="preserve">Net leverage (Net debt / EBITDA)</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 3.50x</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4.80x</w:t>
            </w:r>
          </w:p>
        </w:tc>
        <w:tc>
          <w:tcPr>
            <w:tcW w:type="dxa" w:w="1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(1.30x)</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19"/>
                <w:szCs w:val="19"/>
              </w:rPr>
              <w:t xml:space="preserve">Interest cover (EBITDA / interest)</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 3.00x</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2.10x</w:t>
            </w:r>
          </w:p>
        </w:tc>
        <w:tc>
          <w:tcPr>
            <w:tcW w:type="dxa" w:w="1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(0.90x)</w:t>
            </w:r>
          </w:p>
        </w:tc>
      </w:tr>
      <w:tr>
        <w:tc>
          <w:tcPr>
            <w:tcW w:type="dxa" w:w="4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sz w:val="19"/>
                <w:szCs w:val="19"/>
              </w:rPr>
              <w:t xml:space="preserve">Minimum liquidity</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 £4.0m</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£3.1m</w:t>
            </w:r>
          </w:p>
        </w:tc>
        <w:tc>
          <w:tcPr>
            <w:tcW w:type="dxa" w:w="1626"/>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right"/>
            </w:pPr>
            <w:r>
              <w:rPr>
                <w:sz w:val="19"/>
                <w:szCs w:val="19"/>
              </w:rPr>
              <w:t xml:space="preserve">(£0.9m)</w:t>
            </w:r>
          </w:p>
        </w:tc>
      </w:tr>
    </w:tbl>
    <w:p>
      <w:r>
        <w:t xml:space="preserve"/>
      </w:r>
    </w:p>
    <w:p>
      <w:pPr>
        <w:spacing w:after="120" w:line="276"/>
      </w:pPr>
      <w:r>
        <w:t xml:space="preserve">Both financial covenants and the minimum liquidity covenant are therefore in breach, each of which is an event of default under clause 24 of the Existing Facilities Agreement. The Lender has reserved its rights but has not accelerated.</w:t>
      </w:r>
    </w:p>
    <w:p>
      <w:pPr>
        <w:pStyle w:val="Heading2"/>
      </w:pPr>
      <w:r>
        <w:t xml:space="preserve">3.  Directors' duties</w:t>
      </w:r>
    </w:p>
    <w:p>
      <w:pPr>
        <w:spacing w:after="120" w:line="276"/>
      </w:pPr>
      <w:r>
        <w:t xml:space="preserve">Because the Company is in the zone of potential insolvency, the directors' duties shift towards the interests of creditors as a whole (the rule in BTI 2014 LLC v Sequana SA). The Board should ensure that decisions are properly minuted, that it acts on the basis of up-to-date financial information (including the Independent Business Review), and that it does not incur new credit without a reasonable prospect of repayment. We will provide a separate note on directors' duties for the board pack.</w:t>
      </w:r>
    </w:p>
    <w:p>
      <w:pPr>
        <w:pStyle w:val="Heading2"/>
      </w:pPr>
      <w:r>
        <w:t xml:space="preserve">4.  Options</w:t>
      </w:r>
    </w:p>
    <w:p>
      <w:pPr>
        <w:spacing w:after="120" w:line="276"/>
      </w:pPr>
      <w:r>
        <w:t xml:space="preserve">We have considered four broad options:</w:t>
      </w:r>
    </w:p>
    <w:p>
      <w:pPr>
        <w:spacing w:after="120" w:line="276"/>
      </w:pPr>
      <w:r>
        <w:t xml:space="preserve">Option 1 — Consensual amendment and restatement (recommended). Negotiate a covenant reset and a new super-senior money facility with the Lender, supported by the Independent Business Review and a credible turnaround plan. This preserves value, avoids a formal process, and retains the Board in control. The Lender has indicated a willingness to support a consensual solution, conditional on new money and an equity contribution from shareholders.</w:t>
      </w:r>
    </w:p>
    <w:p>
      <w:pPr>
        <w:spacing w:after="120" w:line="276"/>
      </w:pPr>
      <w:r>
        <w:t xml:space="preserve">Option 2 — Standstill only. Agree a short standstill while the longer-term solution is negotiated. This buys time but does not solve the underlying covenant and liquidity issues and is best used as a bridge to Option 1.</w:t>
      </w:r>
    </w:p>
    <w:p>
      <w:pPr>
        <w:spacing w:after="120" w:line="276"/>
      </w:pPr>
      <w:r>
        <w:t xml:space="preserve">Option 3 — Company Voluntary Arrangement (CVA). A CVA could compromise unsecured liabilities but does not bind the secured Lender without consent and carries reputational and customer-confidence risks for a manufacturing business reliant on supplier credit. Not recommended at this stage.</w:t>
      </w:r>
    </w:p>
    <w:p>
      <w:pPr>
        <w:spacing w:after="120" w:line="276"/>
      </w:pPr>
      <w:r>
        <w:t xml:space="preserve">Option 4 — Administration / formal insolvency. A last resort that would likely destroy enterprise value, trigger ipso facto terminations in key customer contracts, and is not justified while a consensual solution remains available.</w:t>
      </w:r>
    </w:p>
    <w:p>
      <w:pPr>
        <w:pStyle w:val="Heading2"/>
      </w:pPr>
      <w:r>
        <w:t xml:space="preserve">5.  Recommended structure</w:t>
      </w:r>
    </w:p>
    <w:p>
      <w:pPr>
        <w:spacing w:after="120" w:line="276"/>
      </w:pPr>
      <w:r>
        <w:t xml:space="preserve">We recommend pursuing Option 1, bridged by a short standstill (Option 2). The indicative consensual package, subject to negotiation, comprises:</w:t>
      </w:r>
    </w:p>
    <w:p>
      <w:pPr>
        <w:pStyle w:val="ListParagraph"/>
        <w:numPr>
          <w:ilvl w:val="0"/>
          <w:numId w:val="2"/>
        </w:numPr>
        <w:spacing w:after="60"/>
      </w:pPr>
      <w:r>
        <w:t xml:space="preserve">a standstill and reservation of rights agreement running to 31 March 2026, suspending the Lender's right to accelerate while the amendment is finalised;</w:t>
      </w:r>
    </w:p>
    <w:p>
      <w:pPr>
        <w:pStyle w:val="ListParagraph"/>
        <w:numPr>
          <w:ilvl w:val="0"/>
          <w:numId w:val="2"/>
        </w:numPr>
        <w:spacing w:after="60"/>
      </w:pPr>
      <w:r>
        <w:t xml:space="preserve">a new £6.0 million super-senior term facility (“Facility C”) to fund working capital and the turnaround, ranking ahead of the Existing Facilities by way of an amended intercreditor position;</w:t>
      </w:r>
    </w:p>
    <w:p>
      <w:pPr>
        <w:pStyle w:val="ListParagraph"/>
        <w:numPr>
          <w:ilvl w:val="0"/>
          <w:numId w:val="2"/>
        </w:numPr>
        <w:spacing w:after="60"/>
      </w:pPr>
      <w:r>
        <w:t xml:space="preserve">a reset of the financial covenants, with net leverage stepping down from 5.25x (Mar-26) to 3.50x (Mar-27) and the addition of a quarterly minimum-liquidity and capex covenant;</w:t>
      </w:r>
    </w:p>
    <w:p>
      <w:pPr>
        <w:pStyle w:val="ListParagraph"/>
        <w:numPr>
          <w:ilvl w:val="0"/>
          <w:numId w:val="2"/>
        </w:numPr>
        <w:spacing w:after="60"/>
      </w:pPr>
      <w:r>
        <w:t xml:space="preserve">an increase in the cash margin on the Existing Facilities of 175 basis points (to 4.25% per annum over the reference rate), with a 1.50% per annum payment-in-kind margin on Facility A;</w:t>
      </w:r>
    </w:p>
    <w:p>
      <w:pPr>
        <w:pStyle w:val="ListParagraph"/>
        <w:numPr>
          <w:ilvl w:val="0"/>
          <w:numId w:val="2"/>
        </w:numPr>
        <w:spacing w:after="60"/>
      </w:pPr>
      <w:r>
        <w:t xml:space="preserve">an amendment fee of 0.75% of the Existing Facilities (£315,000) and an arrangement fee on Facility C of 2.0% (£120,000); and</w:t>
      </w:r>
    </w:p>
    <w:p>
      <w:pPr>
        <w:pStyle w:val="ListParagraph"/>
        <w:numPr>
          <w:ilvl w:val="0"/>
          <w:numId w:val="2"/>
        </w:numPr>
        <w:spacing w:after="60"/>
      </w:pPr>
      <w:r>
        <w:t xml:space="preserve">a new £2.0 million equity injection from existing shareholders, to be documented separately.</w:t>
      </w:r>
    </w:p>
    <w:p>
      <w:pPr>
        <w:pStyle w:val="Heading2"/>
      </w:pPr>
      <w:r>
        <w:t xml:space="preserve">6.  Next steps</w:t>
      </w:r>
    </w:p>
    <w:p>
      <w:pPr>
        <w:spacing w:after="120" w:line="276"/>
      </w:pPr>
      <w:r>
        <w:t xml:space="preserve">Subject to the Board's approval on 1 December 2025, we propose to: (a) finalise and execute the standstill agreement by 5 December 2025; (b) progress the Independent Business Review with Marlow Tax &amp; Advisory; (c) commence drafting the amendment and restatement agreement; and (d) coordinate the conditions precedent, including board and shareholder approvals and security confirmations, with a target signing in late February 2026.</w:t>
      </w:r>
    </w:p>
    <w:p>
      <w:r>
        <w:t xml:space="preserve"/>
      </w:r>
    </w:p>
    <w:p>
      <w:pPr>
        <w:spacing w:after="120" w:line="276"/>
      </w:pPr>
      <w:r>
        <w:rPr>
          <w:i/>
          <w:iCs/>
          <w:sz w:val="14"/>
          <w:szCs w:val="14"/>
        </w:rPr>
        <w:t xml:space="preserve">Whitfield Carter LLP is a limited liability partnership registered in England and Wales. This communication is confidential and may be legally privileged.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1"/>
      </w:pBdr>
      <w:tabs>
        <w:tab w:val="right" w:pos="9026"/>
      </w:tabs>
      <w:spacing w:before="60"/>
    </w:pPr>
    <w:r>
      <w:rPr>
        <w:color w:val="777777"/>
        <w:sz w:val="14"/>
        <w:szCs w:val="14"/>
      </w:rPr>
      <w:t xml:space="preserve">STRICTLY PRIVATE &amp; CONFIDENTIAL</w:t>
    </w:r>
    <w:r>
      <w:rPr>
        <w:color w:val="777777"/>
        <w:sz w:val="14"/>
        <w:szCs w:val="14"/>
      </w:rPr>
      <w:t xml:space="preserve">	Page </w:t>
    </w:r>
    <w:r>
      <w:rPr>
        <w:color w:val="777777"/>
        <w:sz w:val="14"/>
        <w:szCs w:val="14"/>
      </w:rPr>
      <w:fldChar w:fldCharType="begin"/>
      <w:instrText xml:space="preserve">PAGE</w:instrText>
      <w:fldChar w:fldCharType="separate"/>
      <w:fldChar w:fldCharType="end"/>
    </w:r>
    <w:r>
      <w:rPr>
        <w:color w:val="777777"/>
        <w:sz w:val="14"/>
        <w:szCs w:val="14"/>
      </w:rPr>
      <w:t xml:space="preserve"> of </w:t>
    </w:r>
    <w:r>
      <w:rPr>
        <w:color w:val="77777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b/>
        <w:bCs/>
        <w:color w:val="1F3864"/>
        <w:sz w:val="24"/>
        <w:szCs w:val="24"/>
      </w:rPr>
      <w:t xml:space="preserve">Whitfield Carter LLP</w:t>
    </w:r>
  </w:p>
  <w:p>
    <w:pPr>
      <w:spacing w:after="0"/>
      <w:jc w:val="right"/>
    </w:pPr>
    <w:r>
      <w:rPr>
        <w:color w:val="555555"/>
        <w:sz w:val="16"/>
        <w:szCs w:val="16"/>
      </w:rPr>
      <w:t xml:space="preserve">22 Bishopsgate, London EC2N 4BQ</w:t>
    </w:r>
  </w:p>
  <w:p>
    <w:pPr>
      <w:pBdr>
        <w:bottom w:val="single" w:color="1F3864" w:sz="6" w:space="1"/>
      </w:pBdr>
      <w:spacing w:after="120"/>
      <w:jc w:val="right"/>
    </w:pPr>
    <w:r>
      <w:rPr>
        <w:color w:val="555555"/>
        <w:sz w:val="14"/>
        <w:szCs w:val="14"/>
      </w:rPr>
      <w:t xml:space="preserve">T +44 (0)20 7946 0000  |  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100" w:before="180"/>
      <w:outlineLvl w:val="1"/>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2026-06-28T07:19:38.605Z</dcterms:created>
  <dcterms:modified xsi:type="dcterms:W3CDTF">2026-06-28T07:19:38.605Z</dcterms:modified>
</cp:coreProperties>
</file>

<file path=docProps/custom.xml><?xml version="1.0" encoding="utf-8"?>
<Properties xmlns="http://schemas.openxmlformats.org/officeDocument/2006/custom-properties" xmlns:vt="http://schemas.openxmlformats.org/officeDocument/2006/docPropsVTypes"/>
</file>