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DATED 5 DECEMBER 2025</w:t>
      </w:r>
    </w:p>
    <w:p>
      <w:r>
        <w:t xml:space="preserve"/>
      </w:r>
    </w:p>
    <w:p>
      <w:pPr>
        <w:jc w:val="center"/>
      </w:pPr>
      <w:r>
        <w:rPr>
          <w:b/>
          <w:bCs/>
        </w:rPr>
        <w:t xml:space="preserve">(1)  PENNINGTON INDUSTRIES LIMITED</w:t>
      </w:r>
    </w:p>
    <w:p>
      <w:pPr>
        <w:jc w:val="center"/>
      </w:pPr>
      <w:r>
        <w:rPr>
          <w:b/>
          <w:bCs/>
        </w:rPr>
        <w:t xml:space="preserve">(2)  THE SUBSIDIARY GUARANTORS</w:t>
      </w:r>
    </w:p>
    <w:p>
      <w:pPr>
        <w:jc w:val="center"/>
      </w:pPr>
      <w:r>
        <w:rPr>
          <w:b/>
          <w:bCs/>
        </w:rPr>
        <w:t xml:space="preserve">(3)  STERLING COMMERCIAL BANK PLC</w:t>
      </w:r>
    </w:p>
    <w:p>
      <w:pPr>
        <w:jc w:val="center"/>
      </w:pPr>
      <w:r>
        <w:rPr>
          <w:i/>
          <w:iCs/>
        </w:rPr>
        <w:t xml:space="preserve">(as Lender, Agent and Security Agent)</w:t>
      </w:r>
    </w:p>
    <w:p>
      <w:r>
        <w:t xml:space="preserve"/>
      </w:r>
    </w:p>
    <w:p>
      <w:pPr>
        <w:jc w:val="center"/>
      </w:pPr>
      <w:r>
        <w:rPr>
          <w:color w:val="888888"/>
        </w:rPr>
        <w:t xml:space="preserve">─────────────────────────────</w:t>
      </w:r>
    </w:p>
    <w:p>
      <w:pPr>
        <w:jc w:val="center"/>
      </w:pPr>
      <w:r>
        <w:rPr>
          <w:b/>
          <w:bCs/>
          <w:sz w:val="26"/>
          <w:szCs w:val="26"/>
        </w:rPr>
        <w:t xml:space="preserve">STANDSTILL AND RESERVATION OF RIGHTS AGREEMENT</w:t>
      </w:r>
    </w:p>
    <w:p>
      <w:pPr>
        <w:jc w:val="center"/>
      </w:pPr>
      <w:r>
        <w:rPr>
          <w:i/>
          <w:iCs/>
        </w:rPr>
        <w:t xml:space="preserve">relating to a facilities agreement dated 14 March 2022</w:t>
      </w:r>
    </w:p>
    <w:p>
      <w:pPr>
        <w:jc w:val="center"/>
      </w:pPr>
      <w:r>
        <w:rPr>
          <w:color w:val="888888"/>
        </w:rPr>
        <w:t xml:space="preserve">─────────────────────────────</w:t>
      </w:r>
    </w:p>
    <w:p>
      <w:r>
        <w:t xml:space="preserve"/>
      </w:r>
    </w:p>
    <w:p>
      <w:pPr>
        <w:jc w:val="center"/>
      </w:pPr>
      <w:r>
        <w:rPr>
          <w:color w:val="555555"/>
          <w:sz w:val="16"/>
          <w:szCs w:val="16"/>
        </w:rPr>
        <w:t xml:space="preserve">Whitfield Carter LLP — 22 Bishopsgate, London EC2N 4BQ</w:t>
      </w:r>
    </w:p>
    <w:p>
      <w:pPr>
        <w:pageBreakBefore/>
      </w:pPr>
      <w:r>
        <w:t xml:space="preserve"/>
      </w:r>
    </w:p>
    <w:p>
      <w:pPr>
        <w:pStyle w:val="Heading1"/>
      </w:pPr>
      <w:r>
        <w:t xml:space="preserve">THIS AGREEMENT is dated 5 December 2025 and made between:</w:t>
      </w:r>
    </w:p>
    <w:p>
      <w:pPr>
        <w:spacing w:after="120" w:line="276"/>
      </w:pPr>
      <w:r>
        <w:t xml:space="preserve">(1)  PENNINGTON INDUSTRIES LIMITED, a company incorporated in England and Wales with registered number 03921144 whose registered office is at Pennington House, Foundry Road, Sheffield S9 1XH (the “Company”);</w:t>
      </w:r>
    </w:p>
    <w:p>
      <w:pPr>
        <w:spacing w:after="120" w:line="276"/>
      </w:pPr>
      <w:r>
        <w:t xml:space="preserve">(2)  THE COMPANIES listed in Schedule 1 (the “Subsidiary Guarantors” and, together with the Company, the “Obligors”); and</w:t>
      </w:r>
    </w:p>
    <w:p>
      <w:pPr>
        <w:spacing w:after="120" w:line="276"/>
      </w:pPr>
      <w:r>
        <w:t xml:space="preserve">(3)  STERLING COMMERCIAL BANK PLC, a company incorporated in England and Wales with registered number 02114455 whose registered office is at 1 King William Street, London EC4N 7AF (the “Lender”, and in its capacities as agent and as security agent, the “Agent” and the “Security Agent”).</w:t>
      </w:r>
    </w:p>
    <w:p>
      <w:r>
        <w:t xml:space="preserve"/>
      </w:r>
    </w:p>
    <w:p>
      <w:pPr>
        <w:spacing w:after="120" w:line="276"/>
      </w:pPr>
      <w:r>
        <w:rPr>
          <w:b/>
          <w:bCs/>
        </w:rPr>
        <w:t xml:space="preserve">BACKGROUND</w:t>
      </w:r>
    </w:p>
    <w:p>
      <w:pPr>
        <w:spacing w:after="120" w:line="276"/>
      </w:pPr>
      <w:r>
        <w:t xml:space="preserve">(A)  The Lender made available to the Obligors a £30,000,000 term loan facility and a £12,000,000 revolving credit facility under a facilities agreement dated 14 March 2022 (the “Facilities Agreement”).</w:t>
      </w:r>
    </w:p>
    <w:p>
      <w:pPr>
        <w:spacing w:after="120" w:line="276"/>
      </w:pPr>
      <w:r>
        <w:t xml:space="preserve">(B)  Events of Default have occurred and are continuing under clause 24 (Events of Default) of the Facilities Agreement arising from breaches of the financial covenants and the minimum liquidity undertaking tested at 30 September 2025 (the “Specified Defaults”).</w:t>
      </w:r>
    </w:p>
    <w:p>
      <w:pPr>
        <w:spacing w:after="120" w:line="276"/>
      </w:pPr>
      <w:r>
        <w:t xml:space="preserve">(C)  The Obligors have requested that the Lender refrain from exercising certain of its rights and remedies in respect of the Specified Defaults for a limited period to allow the parties to negotiate a consensual amendment and restatement of the Facilities Agreement. The Lender is willing to do so on the terms of this Agreement.</w:t>
      </w:r>
    </w:p>
    <w:p>
      <w:r>
        <w:t xml:space="preserve"/>
      </w:r>
    </w:p>
    <w:p>
      <w:pPr>
        <w:spacing w:after="120" w:line="276"/>
      </w:pPr>
      <w:r>
        <w:rPr>
          <w:b/>
          <w:bCs/>
        </w:rPr>
        <w:t xml:space="preserve">IT IS AGREED as follows:</w:t>
      </w:r>
    </w:p>
    <w:p>
      <w:pPr>
        <w:spacing w:after="80" w:before="160"/>
      </w:pPr>
      <w:r>
        <w:rPr>
          <w:b/>
          <w:bCs/>
        </w:rPr>
        <w:t xml:space="preserve">1.  DEFINITIONS AND INTERPRETATION</w:t>
      </w:r>
    </w:p>
    <w:p>
      <w:pPr>
        <w:spacing w:after="100" w:line="276"/>
        <w:ind w:left="360"/>
      </w:pPr>
      <w:r>
        <w:rPr>
          <w:b w:val="false"/>
          <w:bCs w:val="false"/>
        </w:rPr>
        <w:t xml:space="preserve">1.1   </w:t>
      </w:r>
      <w:r>
        <w:t xml:space="preserve">In this Agreement, capitalised terms used but not defined have the meanings given to them in the Facilities Agreement.</w:t>
      </w:r>
    </w:p>
    <w:p>
      <w:pPr>
        <w:spacing w:after="100" w:line="276"/>
        <w:ind w:left="360"/>
      </w:pPr>
      <w:r>
        <w:rPr>
          <w:b w:val="false"/>
          <w:bCs w:val="false"/>
        </w:rPr>
        <w:t xml:space="preserve">1.2   </w:t>
      </w:r>
      <w:r>
        <w:t xml:space="preserve">“Standstill Period” means the period from (and including) the date of this Agreement to (and including) the earlier of (a) 31 March 2026 and (b) the date on which a Termination Event occurs.</w:t>
      </w:r>
    </w:p>
    <w:p>
      <w:pPr>
        <w:spacing w:after="100" w:line="276"/>
        <w:ind w:left="360"/>
      </w:pPr>
      <w:r>
        <w:rPr>
          <w:b w:val="false"/>
          <w:bCs w:val="false"/>
        </w:rPr>
        <w:t xml:space="preserve">1.3   </w:t>
      </w:r>
      <w:r>
        <w:t xml:space="preserve">“Termination Event” means any of the events specified in clause 5 (Termination of Standstill).</w:t>
      </w:r>
    </w:p>
    <w:p>
      <w:pPr>
        <w:spacing w:after="100" w:line="276"/>
        <w:ind w:left="360"/>
      </w:pPr>
      <w:r>
        <w:rPr>
          <w:b w:val="false"/>
          <w:bCs w:val="false"/>
        </w:rPr>
        <w:t xml:space="preserve">1.4   </w:t>
      </w:r>
      <w:r>
        <w:t xml:space="preserve">Clause headings are for convenience only and do not affect interpretation. References to a clause or Schedule are to a clause of, or Schedule to, this Agreement.</w:t>
      </w:r>
    </w:p>
    <w:p>
      <w:pPr>
        <w:spacing w:after="80" w:before="160"/>
      </w:pPr>
      <w:r>
        <w:rPr>
          <w:b/>
          <w:bCs/>
        </w:rPr>
        <w:t xml:space="preserve">2.  ACKNOWLEDGEMENT OF DEFAULTS</w:t>
      </w:r>
    </w:p>
    <w:p>
      <w:pPr>
        <w:spacing w:after="100" w:line="276"/>
        <w:ind w:left="360"/>
      </w:pPr>
      <w:r>
        <w:rPr>
          <w:b w:val="false"/>
          <w:bCs w:val="false"/>
        </w:rPr>
        <w:t xml:space="preserve">2.1   </w:t>
      </w:r>
      <w:r>
        <w:t xml:space="preserve">The Obligors acknowledge and agree that the Specified Defaults have occurred and are continuing, that each constitutes an Event of Default under the Facilities Agreement, and that the Lender is, but for this Agreement, entitled to exercise its rights and remedies in respect of them.</w:t>
      </w:r>
    </w:p>
    <w:p>
      <w:pPr>
        <w:spacing w:after="100" w:line="276"/>
        <w:ind w:left="360"/>
      </w:pPr>
      <w:r>
        <w:rPr>
          <w:b w:val="false"/>
          <w:bCs w:val="false"/>
        </w:rPr>
        <w:t xml:space="preserve">2.2   </w:t>
      </w:r>
      <w:r>
        <w:t xml:space="preserve">The Obligors acknowledge that as at the date of this Agreement the aggregate amount outstanding under the Facilities Agreement is £41,750,000 in principal, together with accrued interest and fees, and that such amount is due and owing without set-off, counterclaim or deduction.</w:t>
      </w:r>
    </w:p>
    <w:p>
      <w:pPr>
        <w:spacing w:after="80" w:before="160"/>
      </w:pPr>
      <w:r>
        <w:rPr>
          <w:b/>
          <w:bCs/>
        </w:rPr>
        <w:t xml:space="preserve">3.  STANDSTILL</w:t>
      </w:r>
    </w:p>
    <w:p>
      <w:pPr>
        <w:spacing w:after="100" w:line="276"/>
        <w:ind w:left="360"/>
      </w:pPr>
      <w:r>
        <w:rPr>
          <w:b w:val="false"/>
          <w:bCs w:val="false"/>
        </w:rPr>
        <w:t xml:space="preserve">3.1   </w:t>
      </w:r>
      <w:r>
        <w:t xml:space="preserve">During the Standstill Period, the Lender agrees that it will not, solely by reason of the Specified Defaults, (a) accelerate or demand repayment of the Facilities, (b) enforce any Transaction Security, (c) issue any default notice under clause 24, or (d) cancel any Commitment, except as permitted by clause 5.</w:t>
      </w:r>
    </w:p>
    <w:p>
      <w:pPr>
        <w:spacing w:after="100" w:line="276"/>
        <w:ind w:left="360"/>
      </w:pPr>
      <w:r>
        <w:rPr>
          <w:b w:val="false"/>
          <w:bCs w:val="false"/>
        </w:rPr>
        <w:t xml:space="preserve">3.2   </w:t>
      </w:r>
      <w:r>
        <w:t xml:space="preserve">Nothing in this Agreement waives the Specified Defaults or any other Default, and the Specified Defaults shall continue to subsist. The standstill is an agreement to refrain from exercising remedies for the Standstill Period only.</w:t>
      </w:r>
    </w:p>
    <w:p>
      <w:pPr>
        <w:spacing w:after="80" w:before="160"/>
      </w:pPr>
      <w:r>
        <w:rPr>
          <w:b/>
          <w:bCs/>
        </w:rPr>
        <w:t xml:space="preserve">4.  RESERVATION OF RIGHTS</w:t>
      </w:r>
    </w:p>
    <w:p>
      <w:pPr>
        <w:spacing w:after="100" w:line="276"/>
        <w:ind w:left="360"/>
      </w:pPr>
      <w:r>
        <w:rPr>
          <w:b w:val="false"/>
          <w:bCs w:val="false"/>
        </w:rPr>
        <w:t xml:space="preserve">4.1   </w:t>
      </w:r>
      <w:r>
        <w:t xml:space="preserve">All rights, powers and remedies of the Lender, the Agent and the Security Agent under the Facilities Agreement, the Transaction Security and at law are expressly reserved. No delay or omission by the Lender in exercising any right shall operate as a waiver.</w:t>
      </w:r>
    </w:p>
    <w:p>
      <w:pPr>
        <w:spacing w:after="100" w:line="276"/>
        <w:ind w:left="360"/>
      </w:pPr>
      <w:r>
        <w:rPr>
          <w:b w:val="false"/>
          <w:bCs w:val="false"/>
        </w:rPr>
        <w:t xml:space="preserve">4.2   </w:t>
      </w:r>
      <w:r>
        <w:t xml:space="preserve">This Agreement does not constitute a course of dealing and shall not give rise to any obligation on the Lender to grant any future standstill, waiver or amendment.</w:t>
      </w:r>
    </w:p>
    <w:p>
      <w:pPr>
        <w:spacing w:after="80" w:before="160"/>
      </w:pPr>
      <w:r>
        <w:rPr>
          <w:b/>
          <w:bCs/>
        </w:rPr>
        <w:t xml:space="preserve">5.  TERMINATION OF STANDSTILL</w:t>
      </w:r>
    </w:p>
    <w:p>
      <w:pPr>
        <w:spacing w:after="100" w:line="276"/>
        <w:ind w:left="360"/>
      </w:pPr>
      <w:r>
        <w:rPr>
          <w:b w:val="false"/>
          <w:bCs w:val="false"/>
        </w:rPr>
        <w:t xml:space="preserve">5.1   </w:t>
      </w:r>
      <w:r>
        <w:t xml:space="preserve">The Standstill Period shall terminate immediately on the occurrence of any of the following (each a “Termination Event”): (a) any Obligor fails to comply with any undertaking in clause 6; (b) any Default (other than a Specified Default) occurs; (c) any Obligor takes any step in relation to a formal insolvency process; or (d) any representation in clause 7 is or becomes untrue in a material respect.</w:t>
      </w:r>
    </w:p>
    <w:p>
      <w:pPr>
        <w:spacing w:after="100" w:line="276"/>
        <w:ind w:left="360"/>
      </w:pPr>
      <w:r>
        <w:rPr>
          <w:b w:val="false"/>
          <w:bCs w:val="false"/>
        </w:rPr>
        <w:t xml:space="preserve">5.2   </w:t>
      </w:r>
      <w:r>
        <w:t xml:space="preserve">On termination of the Standstill Period, the Lender shall be entitled to exercise all of its rights and remedies in respect of the Specified Defaults and any other Default without further notice.</w:t>
      </w:r>
    </w:p>
    <w:p>
      <w:pPr>
        <w:spacing w:after="80" w:before="160"/>
      </w:pPr>
      <w:r>
        <w:rPr>
          <w:b/>
          <w:bCs/>
        </w:rPr>
        <w:t xml:space="preserve">6.  UNDERTAKINGS</w:t>
      </w:r>
    </w:p>
    <w:p>
      <w:pPr>
        <w:spacing w:after="100" w:line="276"/>
        <w:ind w:left="360"/>
      </w:pPr>
      <w:r>
        <w:rPr>
          <w:b w:val="false"/>
          <w:bCs w:val="false"/>
        </w:rPr>
        <w:t xml:space="preserve">6.1   </w:t>
      </w:r>
      <w:r>
        <w:t xml:space="preserve">During the Standstill Period the Obligors shall: (a) procure that Marlow Tax &amp; Advisory Ltd completes the Independent Business Review and deliver a copy to the Lender by 19 December 2025; (b) deliver a rolling 13-week cashflow forecast to the Lender each Monday; (c) negotiate in good faith towards a consensual amendment and restatement of the Facilities Agreement; (d) not make any payment to shareholders or connected persons; and (e) not incur any new financial indebtedness other than trade credit in the ordinary course.</w:t>
      </w:r>
    </w:p>
    <w:p>
      <w:pPr>
        <w:spacing w:after="100" w:line="276"/>
        <w:ind w:left="360"/>
      </w:pPr>
      <w:r>
        <w:rPr>
          <w:b w:val="false"/>
          <w:bCs w:val="false"/>
        </w:rPr>
        <w:t xml:space="preserve">6.2   </w:t>
      </w:r>
      <w:r>
        <w:t xml:space="preserve">The Obligors shall pay the Lender's reasonable legal and advisory fees incurred in connection with this Agreement and the proposed restructuring, whether or not the restructuring completes.</w:t>
      </w:r>
    </w:p>
    <w:p>
      <w:pPr>
        <w:spacing w:after="80" w:before="160"/>
      </w:pPr>
      <w:r>
        <w:rPr>
          <w:b/>
          <w:bCs/>
        </w:rPr>
        <w:t xml:space="preserve">7.  REPRESENTATIONS</w:t>
      </w:r>
    </w:p>
    <w:p>
      <w:pPr>
        <w:spacing w:after="100" w:line="276"/>
        <w:ind w:left="360"/>
      </w:pPr>
      <w:r>
        <w:rPr>
          <w:b w:val="false"/>
          <w:bCs w:val="false"/>
        </w:rPr>
        <w:t xml:space="preserve">7.1   </w:t>
      </w:r>
      <w:r>
        <w:t xml:space="preserve">Each Obligor represents that it has the power to enter into and perform this Agreement, that this Agreement has been duly authorised and constitutes its legal, valid and binding obligations, and that (save for the Specified Defaults) no other Default is continuing.</w:t>
      </w:r>
    </w:p>
    <w:p>
      <w:pPr>
        <w:spacing w:after="80" w:before="160"/>
      </w:pPr>
      <w:r>
        <w:rPr>
          <w:b/>
          <w:bCs/>
        </w:rPr>
        <w:t xml:space="preserve">8.  MISCELLANEOUS</w:t>
      </w:r>
    </w:p>
    <w:p>
      <w:pPr>
        <w:spacing w:after="100" w:line="276"/>
        <w:ind w:left="360"/>
      </w:pPr>
      <w:r>
        <w:rPr>
          <w:b w:val="false"/>
          <w:bCs w:val="false"/>
        </w:rPr>
        <w:t xml:space="preserve">8.1   </w:t>
      </w:r>
      <w:r>
        <w:t xml:space="preserve">This Agreement is a Finance Document for the purposes of the Facilities Agreement.</w:t>
      </w:r>
    </w:p>
    <w:p>
      <w:pPr>
        <w:spacing w:after="100" w:line="276"/>
        <w:ind w:left="360"/>
      </w:pPr>
      <w:r>
        <w:rPr>
          <w:b w:val="false"/>
          <w:bCs w:val="false"/>
        </w:rPr>
        <w:t xml:space="preserve">8.2   </w:t>
      </w:r>
      <w:r>
        <w:t xml:space="preserve">This Agreement may be executed in counterparts, each of which when executed and delivered constitutes an original, and all of which together constitute one agreement.</w:t>
      </w:r>
    </w:p>
    <w:p>
      <w:pPr>
        <w:spacing w:after="100" w:line="276"/>
        <w:ind w:left="360"/>
      </w:pPr>
      <w:r>
        <w:rPr>
          <w:b w:val="false"/>
          <w:bCs w:val="false"/>
        </w:rPr>
        <w:t xml:space="preserve">8.3   </w:t>
      </w:r>
      <w:r>
        <w:t xml:space="preserve">The provisions of the Facilities Agreement relating to notices, set-off and the rights of third parties apply to this Agreement as if set out in full.</w:t>
      </w:r>
    </w:p>
    <w:p>
      <w:pPr>
        <w:spacing w:after="80" w:before="160"/>
      </w:pPr>
      <w:r>
        <w:rPr>
          <w:b/>
          <w:bCs/>
        </w:rPr>
        <w:t xml:space="preserve">9.  GOVERNING LAW AND JURISDICTION</w:t>
      </w:r>
    </w:p>
    <w:p>
      <w:pPr>
        <w:spacing w:after="100" w:line="276"/>
        <w:ind w:left="360"/>
      </w:pPr>
      <w:r>
        <w:rPr>
          <w:b w:val="false"/>
          <w:bCs w:val="false"/>
        </w:rPr>
        <w:t xml:space="preserve">9.1   </w:t>
      </w:r>
      <w:r>
        <w:t xml:space="preserve">This Agreement and any non-contractual obligations arising out of or in connection with it are governed by English law.</w:t>
      </w:r>
    </w:p>
    <w:p>
      <w:pPr>
        <w:spacing w:after="100" w:line="276"/>
        <w:ind w:left="360"/>
      </w:pPr>
      <w:r>
        <w:rPr>
          <w:b w:val="false"/>
          <w:bCs w:val="false"/>
        </w:rPr>
        <w:t xml:space="preserve">9.2   </w:t>
      </w:r>
      <w:r>
        <w:t xml:space="preserve">The courts of England have exclusive jurisdiction to settle any dispute arising out of or in connection with this Agreement.</w:t>
      </w:r>
    </w:p>
    <w:p>
      <w:pPr>
        <w:pageBreakBefore/>
      </w:pPr>
      <w:r>
        <w:t xml:space="preserve"/>
      </w:r>
    </w:p>
    <w:p>
      <w:pPr>
        <w:spacing w:after="120" w:line="276"/>
      </w:pPr>
      <w:r>
        <w:rPr>
          <w:b/>
          <w:bCs/>
        </w:rPr>
        <w:t xml:space="preserve">SCHEDULE 1 — THE SUBSIDIARY GUARANTORS</w:t>
      </w:r>
    </w:p>
    <w:p>
      <w:pPr>
        <w:spacing w:after="120" w:line="276"/>
      </w:pPr>
      <w:r>
        <w:t xml:space="preserve">Pennington Pumps Limited (registered number 04188233)</w:t>
      </w:r>
    </w:p>
    <w:p>
      <w:pPr>
        <w:spacing w:after="120" w:line="276"/>
      </w:pPr>
      <w:r>
        <w:t xml:space="preserve">Pennington Fluid Handling Limited (registered number 05522981)</w:t>
      </w:r>
    </w:p>
    <w:p>
      <w:pPr>
        <w:spacing w:after="120" w:line="276"/>
      </w:pPr>
      <w:r>
        <w:t xml:space="preserve">Pennington Industries (Holdings) Limited (registered number 03921133)</w:t>
      </w:r>
    </w:p>
    <w:p>
      <w:r>
        <w:t xml:space="preserve"/>
      </w:r>
    </w:p>
    <w:p>
      <w:pPr>
        <w:spacing w:after="120" w:line="276"/>
      </w:pPr>
      <w:r>
        <w:rPr>
          <w:b/>
          <w:bCs/>
        </w:rPr>
        <w:t xml:space="preserve">EXECUTION</w:t>
      </w:r>
    </w:p>
    <w:p>
      <w:pPr>
        <w:spacing w:after="120" w:line="276"/>
      </w:pPr>
      <w:r>
        <w:t xml:space="preserve">EXECUTED as a deed by PENNINGTON INDUSTRIES LIMITED acting by a director in the presence of a witness:</w:t>
      </w:r>
    </w:p>
    <w:p>
      <w:r>
        <w:t xml:space="preserve"/>
      </w:r>
    </w:p>
    <w:p>
      <w:pPr>
        <w:spacing w:after="120" w:line="276"/>
      </w:pPr>
      <w:r>
        <w:t xml:space="preserve">Director: …………………………………  (Richard Pennington)</w:t>
      </w:r>
    </w:p>
    <w:p>
      <w:pPr>
        <w:spacing w:after="120" w:line="276"/>
      </w:pPr>
      <w:r>
        <w:t xml:space="preserve">Witness: …………………………………</w:t>
      </w:r>
    </w:p>
    <w:p>
      <w:r>
        <w:t xml:space="preserve"/>
      </w:r>
    </w:p>
    <w:p>
      <w:pPr>
        <w:spacing w:after="120" w:line="276"/>
      </w:pPr>
      <w:r>
        <w:t xml:space="preserve">SIGNED for and on behalf of STERLING COMMERCIAL BANK PLC:</w:t>
      </w:r>
    </w:p>
    <w:p>
      <w:r>
        <w:t xml:space="preserve"/>
      </w:r>
    </w:p>
    <w:p>
      <w:pPr>
        <w:spacing w:after="120" w:line="276"/>
      </w:pPr>
      <w:r>
        <w:t xml:space="preserve">Authorised signatory: …………………………………  (Gavin Ross)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STRICTLY PRIVATE &amp; CONFIDENTIAL</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4"/>
        <w:szCs w:val="24"/>
      </w:rPr>
      <w:t xml:space="preserve">Whitfield Carter LLP</w:t>
    </w:r>
  </w:p>
  <w:p>
    <w:pPr>
      <w:spacing w:after="0"/>
      <w:jc w:val="right"/>
    </w:pPr>
    <w:r>
      <w:rPr>
        <w:color w:val="555555"/>
        <w:sz w:val="16"/>
        <w:szCs w:val="16"/>
      </w:rPr>
      <w:t xml:space="preserve">22 Bishopsgate, London EC2N 4BQ</w:t>
    </w:r>
  </w:p>
  <w:p>
    <w:pPr>
      <w:pBdr>
        <w:bottom w:val="single" w:color="1F3864" w:sz="6" w:space="1"/>
      </w:pBdr>
      <w:spacing w:after="120"/>
      <w:jc w:val="right"/>
    </w:pPr>
    <w:r>
      <w:rPr>
        <w:color w:val="555555"/>
        <w:sz w:val="14"/>
        <w:szCs w:val="14"/>
      </w:rPr>
      <w:t xml:space="preserve">T +44 (0)20 7946 0000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2026-06-28T07:19:38.698Z</dcterms:created>
  <dcterms:modified xsi:type="dcterms:W3CDTF">2026-06-28T07:19:38.698Z</dcterms:modified>
</cp:coreProperties>
</file>

<file path=docProps/custom.xml><?xml version="1.0" encoding="utf-8"?>
<Properties xmlns="http://schemas.openxmlformats.org/officeDocument/2006/custom-properties" xmlns:vt="http://schemas.openxmlformats.org/officeDocument/2006/docPropsVTypes"/>
</file>