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sz w:val="18"/>
          <w:szCs w:val="18"/>
        </w:rPr>
        <w:t xml:space="preserve">Our ref: WC-00149/SW/TG</w:t>
      </w:r>
    </w:p>
    <w:p>
      <w:pPr>
        <w:spacing w:after="160"/>
        <w:jc w:val="right"/>
      </w:pPr>
      <w:r>
        <w:rPr>
          <w:sz w:val="18"/>
          <w:szCs w:val="18"/>
        </w:rPr>
        <w:t xml:space="preserve">By email and post</w:t>
      </w:r>
    </w:p>
    <w:p>
      <w:pPr>
        <w:spacing w:after="120"/>
      </w:pPr>
      <w:r>
        <w:t xml:space="preserve">19 January 2026</w:t>
      </w:r>
    </w:p>
    <w:p>
      <w:pPr>
        <w:spacing w:after="120"/>
      </w:pPr>
      <w:r>
        <w:t xml:space="preserve">Mr Richard Pennington</w:t>
      </w:r>
    </w:p>
    <w:p>
      <w:pPr>
        <w:spacing w:after="120"/>
      </w:pPr>
      <w:r>
        <w:t xml:space="preserve">Chair and Chief Executive</w:t>
      </w:r>
    </w:p>
    <w:p>
      <w:pPr>
        <w:spacing w:after="120"/>
      </w:pPr>
      <w:r>
        <w:t xml:space="preserve">Pennington Industries Limited</w:t>
      </w:r>
    </w:p>
    <w:p>
      <w:pPr>
        <w:spacing w:after="200"/>
      </w:pPr>
      <w:r>
        <w:t xml:space="preserve">Pennington House, Shepherd Street, Dudley DY1 4QT</w:t>
      </w:r>
    </w:p>
    <w:p>
      <w:pPr>
        <w:spacing w:after="120"/>
      </w:pPr>
      <w:r>
        <w:t xml:space="preserve">Dear Richard</w:t>
      </w:r>
    </w:p>
    <w:p>
      <w:pPr>
        <w:spacing w:after="160"/>
      </w:pPr>
      <w:r>
        <w:rPr>
          <w:b/>
          <w:bCs/>
        </w:rPr>
        <w:t xml:space="preserve">HSE investigation – incident of 14 January 2026, Dudley assembly plant (“Project Sentinel”)</w:t>
      </w:r>
    </w:p>
    <w:p>
      <w:pPr>
        <w:spacing w:after="120"/>
      </w:pPr>
      <w:r>
        <w:t xml:space="preserve">Thank you for instructing Whitfield Carter LLP in connection with the investigation now being undertaken by the Health and Safety Executive (“HSE”) following the serious injury sustained by Mr Wayne Tasker at the Company’s Shepherd Street assembly facility on 14 January 2026. This letter, together with our enclosed Terms of Business, sets out the basis on which we will act.</w:t>
      </w:r>
    </w:p>
    <w:p>
      <w:pPr>
        <w:pStyle w:val="Heading2"/>
      </w:pPr>
      <w:r>
        <w:t xml:space="preserve">1.  Scope of our engagement</w:t>
      </w:r>
    </w:p>
    <w:p>
      <w:pPr>
        <w:spacing w:after="120"/>
      </w:pPr>
      <w:r>
        <w:t xml:space="preserve">We are instructed to advise and represent the Company in relation to: (a) the HSE’s ongoing investigation under the Health and Safety at Work etc. Act 1974 (“HSWA”) and the Provision and Use of Work Equipment Regulations 1998 (“PUWER”); (b) the Prohibition Notice served on 16 January 2026 in respect of deburring machine asset PT-DB-07 and any further notices; (c) the conduct of interviews under caution and the provision of documents and information to the HSE, whether under section 20 HSWA or otherwise; (d) the Company’s own internal investigation and remediation; and (e) advice on the Company’s exposure and, if charges follow, representation in any criminal proceedings and at sentencing under the Sentencing Council’s Definitive Guideline.</w:t>
      </w:r>
    </w:p>
    <w:p>
      <w:pPr>
        <w:spacing w:after="120"/>
      </w:pPr>
      <w:r>
        <w:t xml:space="preserve">We are not instructed in relation to any civil claim by Mr Tasker or his representatives, the Company’s insurance position, or any employment matter arising from the incident, although we will flag where those matters intersect with our work and can advise separately if you wish.</w:t>
      </w:r>
    </w:p>
    <w:p>
      <w:pPr>
        <w:pStyle w:val="Heading2"/>
      </w:pPr>
      <w:r>
        <w:t xml:space="preserve">2.  Your team</w:t>
      </w:r>
    </w:p>
    <w:p>
      <w:pPr>
        <w:spacing w:after="120"/>
      </w:pPr>
      <w:r>
        <w:t xml:space="preserve">The matter will be led by Sarah Whitfield (Partner). Day-to-day conduct will be handled by Tom Gallagher (Associate), supported by Elena Marchetti (Associate). Where advocacy or specialist regulatory advice is required we propose to instruct Harriet Stanford of Eldon Chambers, with whom we have worked on comparable matters.</w:t>
      </w:r>
    </w:p>
    <w:p>
      <w:pPr>
        <w:pStyle w:val="Heading2"/>
      </w:pPr>
      <w:r>
        <w:t xml:space="preserve">3.  Privilege and the HSE</w:t>
      </w:r>
    </w:p>
    <w:p>
      <w:pPr>
        <w:spacing w:after="120"/>
      </w:pPr>
      <w:r>
        <w:t xml:space="preserve">It is essential that the Company’s internal investigation is conducted with the benefit of, and so far as possible under, legal professional privilege. We will give separate written guidance on document handling. In short: route factual investigation through us; mark privileged material clearly; and do not circulate internal root-cause analysis beyond the smallest necessary group. The HSE has wide powers to require documents, but legal advice privilege and (where litigation is reasonably contemplated) litigation privilege may protect certain materials. Premature or uncontrolled internal commentary can be damaging and is rarely privileged.</w:t>
      </w:r>
    </w:p>
    <w:p>
      <w:pPr>
        <w:pStyle w:val="Heading2"/>
      </w:pPr>
      <w:r>
        <w:t xml:space="preserve">4.  Fees and estimate</w:t>
      </w:r>
    </w:p>
    <w:p>
      <w:pPr>
        <w:spacing w:after="120"/>
      </w:pPr>
      <w:r>
        <w:t xml:space="preserve">Our work will be charged on a time-spent basis at the hourly rates set out in the enclosed Terms of Business (Sarah Whitfield £585; Tom Gallagher £360; Elena Marchetti £295, each plus VAT). Counsel’s fees and any expert’s fees are charged as disbursements. At this stage, and necessarily subject to how the investigation develops, we estimate our fees through to the conclusion of the HSE’s investigation (excluding any contested trial) in the range of £75,000 to £110,000 plus VAT and disbursements. We will not exceed this estimate without first discussing it with you, and we will update you as the matter progresses.</w:t>
      </w:r>
    </w:p>
    <w:p>
      <w:pPr>
        <w:pStyle w:val="Heading2"/>
      </w:pPr>
      <w:r>
        <w:t xml:space="preserve">5.  Immediate priorities</w:t>
      </w:r>
    </w:p>
    <w:p>
      <w:pPr>
        <w:pStyle w:val="ListParagraph"/>
        <w:numPr>
          <w:ilvl w:val="0"/>
          <w:numId w:val="2"/>
        </w:numPr>
        <w:spacing w:after="80"/>
      </w:pPr>
      <w:r>
        <w:t xml:space="preserve">Preserve all documents and electronic records relating to PT-DB-07, its maintenance, the guarding system and the events of 14 January 2026. A litigation hold notice is enclosed for circulation.</w:t>
      </w:r>
    </w:p>
    <w:p>
      <w:pPr>
        <w:pStyle w:val="ListParagraph"/>
        <w:numPr>
          <w:ilvl w:val="0"/>
          <w:numId w:val="2"/>
        </w:numPr>
        <w:spacing w:after="80"/>
      </w:pPr>
      <w:r>
        <w:t xml:space="preserve">Comply fully with the Prohibition Notice; do not return PT-DB-07 to service until we and the HSE confirm it is appropriate.</w:t>
      </w:r>
    </w:p>
    <w:p>
      <w:pPr>
        <w:pStyle w:val="ListParagraph"/>
        <w:numPr>
          <w:ilvl w:val="0"/>
          <w:numId w:val="2"/>
        </w:numPr>
        <w:spacing w:after="80"/>
      </w:pPr>
      <w:r>
        <w:t xml:space="preserve">Channel all communications with the HSE through this firm; please forward any contact from Inspector Whitlow to us immediately.</w:t>
      </w:r>
    </w:p>
    <w:p>
      <w:pPr>
        <w:pStyle w:val="ListParagraph"/>
        <w:numPr>
          <w:ilvl w:val="0"/>
          <w:numId w:val="2"/>
        </w:numPr>
        <w:spacing w:after="80"/>
      </w:pPr>
      <w:r>
        <w:t xml:space="preserve">Identify the employees likely to be asked for accounts so that we can arrange for them to be advised of their position.</w:t>
      </w:r>
    </w:p>
    <w:p>
      <w:pPr>
        <w:spacing w:after="200"/>
      </w:pPr>
      <w:r>
        <w:t xml:space="preserve">Please countersign and return the enclosed copy of this letter and the Terms of Business. We are very much at your disposal and will speak again once we have reviewed the initial documents.</w:t>
      </w:r>
    </w:p>
    <w:p>
      <w:pPr>
        <w:spacing w:after="120"/>
      </w:pPr>
      <w:r>
        <w:t xml:space="preserve">Yours sincerely</w:t>
      </w:r>
    </w:p>
    <w:p>
      <w:pPr>
        <w:spacing w:after="80"/>
      </w:pPr>
      <w:r>
        <w:t xml:space="preserve"/>
      </w:r>
    </w:p>
    <w:p>
      <w:pPr>
        <w:spacing w:after="120"/>
      </w:pPr>
      <w:r>
        <w:t xml:space="preserve">Sarah Whitfield</w:t>
      </w:r>
    </w:p>
    <w:p>
      <w:pPr>
        <w:spacing w:after="120"/>
      </w:pPr>
      <w:r>
        <w:t xml:space="preserve">Partner, Regulatory &amp; Investigations</w:t>
      </w:r>
    </w:p>
    <w:p>
      <w:pPr>
        <w:spacing w:after="120"/>
      </w:pPr>
      <w:r>
        <w:t xml:space="preserve">For and on behalf of Whitfield Carter LLP</w:t>
      </w:r>
    </w:p>
    <w:p>
      <w:pPr>
        <w:spacing w:after="200"/>
      </w:pPr>
      <w:r>
        <w:t xml:space="preserve">sarah.whitfield@whitfieldcarter.com   ·   +44 (0)20 7946 1188</w:t>
      </w:r>
    </w:p>
    <w:p>
      <w:pPr>
        <w:spacing w:after="120"/>
      </w:pPr>
      <w:r>
        <w:rPr>
          <w:i/>
          <w:iCs/>
        </w:rPr>
        <w:t xml:space="preserve">Enc:  Terms of Business; Litigation Hold Notice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after="0"/>
    </w:pPr>
    <w:r>
      <w:rPr>
        <w:color w:val="777777"/>
        <w:sz w:val="14"/>
        <w:szCs w:val="14"/>
      </w:rPr>
      <w:t xml:space="preserve">Whitfield Carter LLP is a limited liability partnership registered in England &amp; Wales (OC391022). Authorised and regulated by the Solicitors Regulation Authority.</w:t>
    </w:r>
  </w:p>
  <w:p>
    <w:r>
      <w:rPr>
        <w:color w:val="777777"/>
        <w:sz w:val="14"/>
        <w:szCs w:val="14"/>
      </w:rPr>
      <w:t xml:space="preserve">Confidential and may be legally privileged.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sz w:val="26"/>
        <w:szCs w:val="26"/>
      </w:rPr>
      <w:t xml:space="preserve">Whitfield Carter LLP</w:t>
    </w:r>
  </w:p>
  <w:p>
    <w:pPr>
      <w:pBdr>
        <w:bottom w:val="single" w:color="2E4A7B" w:sz="6" w:space="4"/>
      </w:pBdr>
      <w:spacing w:after="120"/>
    </w:pPr>
    <w:r>
      <w:rPr>
        <w:color w:val="555555"/>
        <w:sz w:val="16"/>
        <w:szCs w:val="16"/>
      </w:rPr>
      <w:t xml:space="preserve">22 Bishopsgate, London EC2N 4BQ  ·  DX 178 London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2026-06-26T18:11:15.041Z</dcterms:created>
  <dcterms:modified xsi:type="dcterms:W3CDTF">2026-06-26T18:11:15.042Z</dcterms:modified>
</cp:coreProperties>
</file>

<file path=docProps/custom.xml><?xml version="1.0" encoding="utf-8"?>
<Properties xmlns="http://schemas.openxmlformats.org/officeDocument/2006/custom-properties" xmlns:vt="http://schemas.openxmlformats.org/officeDocument/2006/docPropsVTypes"/>
</file>