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B00000"/>
          <w:sz w:val="18"/>
          <w:szCs w:val="18"/>
        </w:rPr>
        <w:t xml:space="preserve">PRIVILEGED &amp; CONFIDENTIAL – PREPARED FOR THE PURPOSE OF OBTAINING LEGAL ADVICE</w:t>
      </w:r>
    </w:p>
    <w:p>
      <w:pPr>
        <w:pStyle w:val="Heading1"/>
      </w:pPr>
      <w:r>
        <w:t xml:space="preserve">Internal Investigation Report – Incident of 14 January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E7EDF5" w:val="clear"/>
            <w:tcMar>
              <w:top w:type="dxa" w:w="60"/>
              <w:left w:type="dxa" w:w="110"/>
              <w:bottom w:type="dxa" w:w="60"/>
              <w:right w:type="dxa" w:w="110"/>
            </w:tcMar>
          </w:tcPr>
          <w:p>
            <w:r>
              <w:rPr>
                <w:b/>
                <w:bCs/>
                <w:sz w:val="19"/>
                <w:szCs w:val="19"/>
              </w:rPr>
              <w:t xml:space="preserve">Field</w:t>
            </w:r>
          </w:p>
        </w:tc>
        <w:tc>
          <w:tcPr>
            <w:tcW w:type="dxa" w:w="6626"/>
            <w:tcBorders>
              <w:top w:val="single" w:color="BBBBBB" w:sz="1"/>
              <w:left w:val="single" w:color="BBBBBB" w:sz="1"/>
              <w:bottom w:val="single" w:color="BBBBBB" w:sz="1"/>
              <w:right w:val="single" w:color="BBBBBB" w:sz="1"/>
            </w:tcBorders>
            <w:shd w:fill="E7EDF5" w:val="clear"/>
            <w:tcMar>
              <w:top w:type="dxa" w:w="60"/>
              <w:left w:type="dxa" w:w="110"/>
              <w:bottom w:type="dxa" w:w="60"/>
              <w:right w:type="dxa" w:w="110"/>
            </w:tcMar>
          </w:tcPr>
          <w:p>
            <w:r>
              <w:rPr>
                <w:b/>
                <w:bCs/>
                <w:sz w:val="19"/>
                <w:szCs w:val="19"/>
              </w:rPr>
              <w:t xml:space="preserve">Detail</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Matter</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WC-00149 / Project Sentinel</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Prepared by</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Tom Gallagher (Associate), under the supervision of Sarah Whitfield</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Prepared for</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Richard Pennington (Chair/CEO) and the Board</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Date</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6 February 2026</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Status</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Privileged – not for circulation beyond the named group</w:t>
            </w:r>
          </w:p>
        </w:tc>
      </w:tr>
    </w:tbl>
    <w:p>
      <w:pPr>
        <w:pStyle w:val="Heading2"/>
      </w:pPr>
      <w:r>
        <w:t xml:space="preserve">1.  Executive summary</w:t>
      </w:r>
    </w:p>
    <w:p>
      <w:pPr>
        <w:spacing w:after="120"/>
      </w:pPr>
      <w:r>
        <w:t xml:space="preserve">On 14 January 2026 Mr Wayne Tasker, a machine operator at the Company’s Shepherd Street plant in Dudley, sustained a traumatic partial amputation of three fingers of his right hand while clearing swarf from horizontal deburring machine PT-DB-07. The machine’s interlocked guard did not prevent the cutting spindle from operating when the guard door was open. The injury is reportable under RIDDOR and was reported to the HSE on 14 January 2026. The HSE attended on 15 January, served a Prohibition Notice in respect of PT-DB-07 on 16 January, and has opened an investigation. This report records the factual investigation carried out to date and is prepared for the purpose of obtaining legal advice.</w:t>
      </w:r>
    </w:p>
    <w:p>
      <w:pPr>
        <w:pStyle w:val="Heading2"/>
      </w:pPr>
      <w:r>
        <w:t xml:space="preserve">2.  Background – the machine and the task</w:t>
      </w:r>
    </w:p>
    <w:p>
      <w:pPr>
        <w:spacing w:after="120"/>
      </w:pPr>
      <w:r>
        <w:t xml:space="preserve">PT-DB-07 is a 2014 horizontal deburring/milling cell used to finish cast pump housings on the Company’s municipal-pump line. The operator loads a housing, closes a hinged interlocked guard door, and the spindle runs an automatic cycle. Swarf and coolant accumulate in the lower tray. Operators periodically open the guard to clear swarf. The safe system of work required (i) selecting “stop/isolate” before opening the guard and (ii) the guard interlock independently preventing spindle motion when the door is open.</w:t>
      </w:r>
    </w:p>
    <w:p>
      <w:pPr>
        <w:pStyle w:val="Heading2"/>
      </w:pPr>
      <w:r>
        <w:t xml:space="preserve">3.  Chronology of events on 14 January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BBBBBB" w:sz="1"/>
              <w:left w:val="single" w:color="BBBBBB" w:sz="1"/>
              <w:bottom w:val="single" w:color="BBBBBB" w:sz="1"/>
              <w:right w:val="single" w:color="BBBBBB" w:sz="1"/>
            </w:tcBorders>
            <w:shd w:fill="E7EDF5" w:val="clear"/>
            <w:tcMar>
              <w:top w:type="dxa" w:w="60"/>
              <w:left w:type="dxa" w:w="110"/>
              <w:bottom w:type="dxa" w:w="60"/>
              <w:right w:type="dxa" w:w="110"/>
            </w:tcMar>
          </w:tcPr>
          <w:p>
            <w:r>
              <w:rPr>
                <w:b/>
                <w:bCs/>
                <w:sz w:val="19"/>
                <w:szCs w:val="19"/>
              </w:rPr>
              <w:t xml:space="preserve">Time</w:t>
            </w:r>
          </w:p>
        </w:tc>
        <w:tc>
          <w:tcPr>
            <w:tcW w:type="dxa" w:w="7426"/>
            <w:tcBorders>
              <w:top w:val="single" w:color="BBBBBB" w:sz="1"/>
              <w:left w:val="single" w:color="BBBBBB" w:sz="1"/>
              <w:bottom w:val="single" w:color="BBBBBB" w:sz="1"/>
              <w:right w:val="single" w:color="BBBBBB" w:sz="1"/>
            </w:tcBorders>
            <w:shd w:fill="E7EDF5" w:val="clear"/>
            <w:tcMar>
              <w:top w:type="dxa" w:w="60"/>
              <w:left w:type="dxa" w:w="110"/>
              <w:bottom w:type="dxa" w:w="60"/>
              <w:right w:type="dxa" w:w="110"/>
            </w:tcMar>
          </w:tcPr>
          <w:p>
            <w:r>
              <w:rPr>
                <w:b/>
                <w:bCs/>
                <w:sz w:val="19"/>
                <w:szCs w:val="19"/>
              </w:rPr>
              <w:t xml:space="preserve">Event</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06:50</w:t>
            </w:r>
          </w:p>
        </w:tc>
        <w:tc>
          <w:tcPr>
            <w:tcW w:type="dxa" w:w="7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Tasker begins shift; PT-DB-07 in normal production.</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10:10</w:t>
            </w:r>
          </w:p>
        </w:tc>
        <w:tc>
          <w:tcPr>
            <w:tcW w:type="dxa" w:w="7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Coolant low / swarf build-up flagged on the cell HMI.</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10:14</w:t>
            </w:r>
          </w:p>
        </w:tc>
        <w:tc>
          <w:tcPr>
            <w:tcW w:type="dxa" w:w="7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Tasker opens guard door to clear swarf. Spindle had not been isolated at the panel.</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10:15</w:t>
            </w:r>
          </w:p>
        </w:tc>
        <w:tc>
          <w:tcPr>
            <w:tcW w:type="dxa" w:w="7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Spindle restarts mid-cycle with guard open; contact with rotating tool; injury sustained.</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10:17</w:t>
            </w:r>
          </w:p>
        </w:tc>
        <w:tc>
          <w:tcPr>
            <w:tcW w:type="dxa" w:w="7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Colleague hits emergency stop; first aid administered; ambulance called.</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10:41</w:t>
            </w:r>
          </w:p>
        </w:tc>
        <w:tc>
          <w:tcPr>
            <w:tcW w:type="dxa" w:w="7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Ambulance conveys Tasker to Russells Hall Hospital.</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11:20</w:t>
            </w:r>
          </w:p>
        </w:tc>
        <w:tc>
          <w:tcPr>
            <w:tcW w:type="dxa" w:w="7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Plant Manager isolates and locks off PT-DB-07; area cordoned.</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14:30</w:t>
            </w:r>
          </w:p>
        </w:tc>
        <w:tc>
          <w:tcPr>
            <w:tcW w:type="dxa" w:w="7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RIDDOR report submitted to HSE.</w:t>
            </w:r>
          </w:p>
        </w:tc>
      </w:tr>
    </w:tbl>
    <w:p>
      <w:pPr>
        <w:pStyle w:val="Heading2"/>
      </w:pPr>
      <w:r>
        <w:t xml:space="preserve">4.  Findings of the internal investigation</w:t>
      </w:r>
    </w:p>
    <w:p>
      <w:pPr>
        <w:spacing w:after="120"/>
      </w:pPr>
      <w:r>
        <w:t xml:space="preserve">The investigation, conducted with maintenance, engineering and the Company’s SHEQ function, has provisionally established the following. These findings are subject to the independent forensic engineering examination commissioned from Wraysbury Materials Laboratory.</w:t>
      </w:r>
    </w:p>
    <w:p>
      <w:pPr>
        <w:pStyle w:val="ListParagraph"/>
        <w:numPr>
          <w:ilvl w:val="0"/>
          <w:numId w:val="2"/>
        </w:numPr>
        <w:spacing w:after="80"/>
      </w:pPr>
      <w:r>
        <w:t xml:space="preserve">The guard interlock switch (a tongue-actuated safety switch) was found in a defective state: the actuator tongue was worn and the switch contacts intermittently closed even with the door open, defeating the interlock. The forensic report will address the failure mode.</w:t>
      </w:r>
    </w:p>
    <w:p>
      <w:pPr>
        <w:pStyle w:val="ListParagraph"/>
        <w:numPr>
          <w:ilvl w:val="0"/>
          <w:numId w:val="2"/>
        </w:numPr>
        <w:spacing w:after="80"/>
      </w:pPr>
      <w:r>
        <w:t xml:space="preserve">Maintenance records show the last documented function test of the PT-DB-07 interlock was 9 March 2025 – over ten months before the incident – against a planned six-monthly interval. A scheduled October 2025 test was not completed and was not escalated.</w:t>
      </w:r>
    </w:p>
    <w:p>
      <w:pPr>
        <w:pStyle w:val="ListParagraph"/>
        <w:numPr>
          <w:ilvl w:val="0"/>
          <w:numId w:val="2"/>
        </w:numPr>
        <w:spacing w:after="80"/>
      </w:pPr>
      <w:r>
        <w:t xml:space="preserve">The “isolate before opening guard” step in the safe system of work was understood by operators to be good practice but was not consistently enforced and was not independently verified by the guarding system, which should have made spindle motion impossible with the guard open regardless of operator action.</w:t>
      </w:r>
    </w:p>
    <w:p>
      <w:pPr>
        <w:pStyle w:val="ListParagraph"/>
        <w:numPr>
          <w:ilvl w:val="0"/>
          <w:numId w:val="2"/>
        </w:numPr>
        <w:spacing w:after="80"/>
      </w:pPr>
      <w:r>
        <w:t xml:space="preserve">Operator training records for Tasker were current, but the toolbox-talk on swarf clearance (issued June 2025) did not address the interlock-defeat risk specifically.</w:t>
      </w:r>
    </w:p>
    <w:p>
      <w:pPr>
        <w:pStyle w:val="Heading2"/>
      </w:pPr>
      <w:r>
        <w:t xml:space="preserve">5.  Provisional root cause</w:t>
      </w:r>
    </w:p>
    <w:p>
      <w:pPr>
        <w:spacing w:after="120"/>
      </w:pPr>
      <w:r>
        <w:t xml:space="preserve">The proximate cause was the failure of the guard interlock to prevent spindle motion with the guard open. The underlying causes were (a) a lapse in the planned preventive-maintenance and function-testing regime for safety-critical guarding, and (b) reliance on operator behaviour as the primary control rather than on a reliable engineered interlock. Both are matters going to the adequacy of the Company’s arrangements under PUWER reg 11 and HSWA s.2.</w:t>
      </w:r>
    </w:p>
    <w:p>
      <w:pPr>
        <w:pStyle w:val="Heading2"/>
      </w:pPr>
      <w:r>
        <w:t xml:space="preserve">6.  Immediate remediation taken</w:t>
      </w:r>
    </w:p>
    <w:p>
      <w:pPr>
        <w:pStyle w:val="ListParagraph"/>
        <w:numPr>
          <w:ilvl w:val="0"/>
          <w:numId w:val="2"/>
        </w:numPr>
        <w:spacing w:after="80"/>
      </w:pPr>
      <w:r>
        <w:t xml:space="preserve">PT-DB-07 isolated and locked out; will not return to service until re-engineered guarding is fitted and validated.</w:t>
      </w:r>
    </w:p>
    <w:p>
      <w:pPr>
        <w:pStyle w:val="ListParagraph"/>
        <w:numPr>
          <w:ilvl w:val="0"/>
          <w:numId w:val="2"/>
        </w:numPr>
        <w:spacing w:after="80"/>
      </w:pPr>
      <w:r>
        <w:t xml:space="preserve">All four sister deburring cells (PT-DB-04 to -08) subjected to immediate interlock function tests; PT-DB-05 found with a marginal switch and taken out of service.</w:t>
      </w:r>
    </w:p>
    <w:p>
      <w:pPr>
        <w:pStyle w:val="ListParagraph"/>
        <w:numPr>
          <w:ilvl w:val="0"/>
          <w:numId w:val="2"/>
        </w:numPr>
        <w:spacing w:after="80"/>
      </w:pPr>
      <w:r>
        <w:t xml:space="preserve">Interim instruction issued that no guard on any machine is to be opened without panel isolation and lock-off, pending engineering review.</w:t>
      </w:r>
    </w:p>
    <w:p>
      <w:pPr>
        <w:pStyle w:val="ListParagraph"/>
        <w:numPr>
          <w:ilvl w:val="0"/>
          <w:numId w:val="2"/>
        </w:numPr>
        <w:spacing w:after="80"/>
      </w:pPr>
      <w:r>
        <w:t xml:space="preserve">PPM scheduling for safety-critical guards moved to the CMMS with mandatory escalation of overdue tasks to the Operations Director.</w:t>
      </w:r>
    </w:p>
    <w:p>
      <w:pPr>
        <w:pStyle w:val="Heading2"/>
      </w:pPr>
      <w:r>
        <w:t xml:space="preserve">7.  Recommendations</w:t>
      </w:r>
    </w:p>
    <w:p>
      <w:pPr>
        <w:spacing w:after="120"/>
      </w:pPr>
      <w:r>
        <w:t xml:space="preserve">Subject to legal advice, we recommend the Company (i) commission a guarding and interlock audit across the Dudley site by an independent competent person; (ii) replace tongue-actuated switches on safety-critical guards with coded non-contact safety switches; (iii) formalise a safety-critical maintenance register with board-level oversight; and (iv) co-operate fully and constructively with the HSE while preserving privilege over advisory material as separately advised.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after="0"/>
    </w:pPr>
    <w:r>
      <w:rPr>
        <w:color w:val="777777"/>
        <w:sz w:val="14"/>
        <w:szCs w:val="14"/>
      </w:rPr>
      <w:t xml:space="preserve">Whitfield Carter LLP is a limited liability partnership registered in England &amp; Wales (OC391022). Authorised and regulated by the Solicitors Regulation Authority.</w:t>
    </w:r>
  </w:p>
  <w:p>
    <w:r>
      <w:rPr>
        <w:color w:val="777777"/>
        <w:sz w:val="14"/>
        <w:szCs w:val="14"/>
      </w:rPr>
      <w:t xml:space="preserve">Confidential and may be legally privileged.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sz w:val="26"/>
        <w:szCs w:val="26"/>
      </w:rPr>
      <w:t xml:space="preserve">Whitfield Carter LLP</w:t>
    </w:r>
  </w:p>
  <w:p>
    <w:pPr>
      <w:pBdr>
        <w:bottom w:val="single" w:color="2E4A7B" w:sz="6" w:space="4"/>
      </w:pBdr>
      <w:spacing w:after="120"/>
    </w:pPr>
    <w:r>
      <w:rPr>
        <w:color w:val="555555"/>
        <w:sz w:val="16"/>
        <w:szCs w:val="16"/>
      </w:rPr>
      <w:t xml:space="preserve">22 Bishopsgate, London EC2N 4BQ  ·  DX 178 London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2026-06-26T18:11:15.061Z</dcterms:created>
  <dcterms:modified xsi:type="dcterms:W3CDTF">2026-06-26T18:11:15.061Z</dcterms:modified>
</cp:coreProperties>
</file>

<file path=docProps/custom.xml><?xml version="1.0" encoding="utf-8"?>
<Properties xmlns="http://schemas.openxmlformats.org/officeDocument/2006/custom-properties" xmlns:vt="http://schemas.openxmlformats.org/officeDocument/2006/docPropsVTypes"/>
</file>