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sz w:val="18"/>
          <w:szCs w:val="18"/>
        </w:rPr>
        <w:t xml:space="preserve">Our ref: WC-00149/SW/TG</w:t>
      </w:r>
    </w:p>
    <w:p>
      <w:pPr>
        <w:spacing w:after="160"/>
        <w:jc w:val="right"/>
      </w:pPr>
      <w:r>
        <w:rPr>
          <w:sz w:val="18"/>
          <w:szCs w:val="18"/>
        </w:rPr>
        <w:t xml:space="preserve">Your ref: WM/DUD/2026/0117</w:t>
      </w:r>
    </w:p>
    <w:p>
      <w:pPr>
        <w:spacing w:after="120"/>
      </w:pPr>
      <w:r>
        <w:t xml:space="preserve">11 March 2026</w:t>
      </w:r>
    </w:p>
    <w:p>
      <w:pPr>
        <w:spacing w:after="120"/>
      </w:pPr>
      <w:r>
        <w:t xml:space="preserve">Ms Karen Whitlow</w:t>
      </w:r>
    </w:p>
    <w:p>
      <w:pPr>
        <w:spacing w:after="120"/>
      </w:pPr>
      <w:r>
        <w:t xml:space="preserve">HM Inspector of Health and Safety</w:t>
      </w:r>
    </w:p>
    <w:p>
      <w:pPr>
        <w:spacing w:after="120"/>
      </w:pPr>
      <w:r>
        <w:t xml:space="preserve">Health and Safety Executive</w:t>
      </w:r>
    </w:p>
    <w:p>
      <w:pPr>
        <w:spacing w:after="200"/>
      </w:pPr>
      <w:r>
        <w:t xml:space="preserve">Edgar Allen House, 241 Glossop Road, Sheffield S10 2GW</w:t>
      </w:r>
    </w:p>
    <w:p>
      <w:pPr>
        <w:spacing w:after="120"/>
      </w:pPr>
      <w:r>
        <w:t xml:space="preserve">Dear Inspector Whitlow</w:t>
      </w:r>
    </w:p>
    <w:p>
      <w:pPr>
        <w:spacing w:after="160"/>
      </w:pPr>
      <w:r>
        <w:rPr>
          <w:b/>
          <w:bCs/>
        </w:rPr>
        <w:t xml:space="preserve">Pennington Industries Limited – incident of 14 January 2026 – written representations</w:t>
      </w:r>
    </w:p>
    <w:p>
      <w:pPr>
        <w:spacing w:after="120"/>
      </w:pPr>
      <w:r>
        <w:t xml:space="preserve">We act for Pennington Industries Limited (“the Company”). We write further to your section 20 requests of 22 January and 18 February 2026 and our meeting of 4 March 2026, to set out the Company’s representations on the matters under investigation. This letter is provided on an open basis and is intended to assist your enquiry.</w:t>
      </w:r>
    </w:p>
    <w:p>
      <w:pPr>
        <w:pStyle w:val="Heading2"/>
      </w:pPr>
      <w:r>
        <w:t xml:space="preserve">1.  The Company’s co-operation</w:t>
      </w:r>
    </w:p>
    <w:p>
      <w:pPr>
        <w:spacing w:after="120"/>
      </w:pPr>
      <w:r>
        <w:t xml:space="preserve">The Company reported the incident promptly under RIDDOR, complied immediately with the Prohibition Notice of 16 January 2026, and has provided all documents requested. It has voluntarily commissioned an independent forensic examination of the interlock from Wraysbury Materials Laboratory, the report of which we will share once finalised, and has begun a site-wide guarding audit. The Company is committed to learning from this incident.</w:t>
      </w:r>
    </w:p>
    <w:p>
      <w:pPr>
        <w:pStyle w:val="Heading2"/>
      </w:pPr>
      <w:r>
        <w:t xml:space="preserve">2.  The Company’s position on the breaches</w:t>
      </w:r>
    </w:p>
    <w:p>
      <w:pPr>
        <w:spacing w:after="120"/>
      </w:pPr>
      <w:r>
        <w:t xml:space="preserve">Having taken advice, the Company recognises that the guarding of PT-DB-07 was not adequate and that its maintenance and function-testing of the interlock fell short of what was required. The Company does not seek to minimise the seriousness of Mr Tasker’s injury. It accepts that there were breaches of its duties such that the requirements of PUWER 1998 reg 11 (dangerous parts of machinery) and section 2(1) HSWA were not met in respect of this machine.</w:t>
      </w:r>
    </w:p>
    <w:p>
      <w:pPr>
        <w:spacing w:after="120"/>
      </w:pPr>
      <w:r>
        <w:t xml:space="preserve">The Company asks the HSE, in assessing culpability, to weigh the following matters set out in the Definitive Guideline. While the maintenance lapse is accepted, the Company submits that this was a failure to maintain an otherwise designed-in control on a single machine, against a backdrop of a generally functioning safety-management system, rather than a systemic disregard for safety or a deliberate or flagrant breach. On that basis the Company respectfully submits that culpability is properly characterised as medium rather than high.</w:t>
      </w:r>
    </w:p>
    <w:p>
      <w:pPr>
        <w:pStyle w:val="Heading2"/>
      </w:pPr>
      <w:r>
        <w:t xml:space="preserve">3.  Harm</w:t>
      </w:r>
    </w:p>
    <w:p>
      <w:pPr>
        <w:spacing w:after="120"/>
      </w:pPr>
      <w:r>
        <w:t xml:space="preserve">The Company accepts that the seriousness of harm risked falls within Level A and that harm was realised, and that on the Company’s turnover it is a medium organisation for Guideline purposes. The Company will not trouble you with submissions seeking to depress the harm category, which it accepts is category 2.</w:t>
      </w:r>
    </w:p>
    <w:p>
      <w:pPr>
        <w:pStyle w:val="Heading2"/>
      </w:pPr>
      <w:r>
        <w:t xml:space="preserve">4.  Remediation and mitigation</w:t>
      </w:r>
    </w:p>
    <w:p>
      <w:pPr>
        <w:spacing w:after="120"/>
      </w:pPr>
      <w:r>
        <w:t xml:space="preserve">The Company invites the HSE to take into account: the immediate and continuing isolation of PT-DB-07 and of PT-DB-05; the interim site-wide instruction on guard isolation; the re-engineering of the guarding to coded non-contact interlocks; the new safety-critical maintenance register with board oversight; the absence of any relevant enforcement history; the Company’s prompt reporting and full co-operation; and the genuine remorse of its directors. The Company has also kept in contact with Mr Tasker and supported his return-to-work planning.</w:t>
      </w:r>
    </w:p>
    <w:p>
      <w:pPr>
        <w:pStyle w:val="Heading2"/>
      </w:pPr>
      <w:r>
        <w:t xml:space="preserve">5.  Next steps</w:t>
      </w:r>
    </w:p>
    <w:p>
      <w:pPr>
        <w:spacing w:after="200"/>
      </w:pPr>
      <w:r>
        <w:t xml:space="preserve">The Company will provide the forensic report and the completed guarding-audit summary by 31 March 2026. We remain ready to meet to discuss the appropriate disposal of this matter, including whether the public interest is met by a course short of prosecution, while recognising that this is a matter for the HSE. We should be grateful to understand your current thinking on timescale.</w:t>
      </w:r>
    </w:p>
    <w:p>
      <w:pPr>
        <w:spacing w:after="120"/>
      </w:pPr>
      <w:r>
        <w:t xml:space="preserve">Yours sincerely</w:t>
      </w:r>
    </w:p>
    <w:p>
      <w:pPr>
        <w:spacing w:after="80"/>
      </w:pPr>
      <w:r>
        <w:t xml:space="preserve"/>
      </w:r>
    </w:p>
    <w:p>
      <w:pPr>
        <w:spacing w:after="120"/>
      </w:pPr>
      <w:r>
        <w:t xml:space="preserve">Whitfield Carter LLP</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after="0"/>
    </w:pPr>
    <w:r>
      <w:rPr>
        <w:color w:val="777777"/>
        <w:sz w:val="14"/>
        <w:szCs w:val="14"/>
      </w:rPr>
      <w:t xml:space="preserve">Whitfield Carter LLP is a limited liability partnership registered in England &amp; Wales (OC391022). Authorised and regulated by the Solicitors Regulation Authority.</w:t>
    </w:r>
  </w:p>
  <w:p>
    <w:r>
      <w:rPr>
        <w:color w:val="777777"/>
        <w:sz w:val="14"/>
        <w:szCs w:val="14"/>
      </w:rPr>
      <w:t xml:space="preserve">Confidential and may be legally privileged.    Page </w:t>
    </w:r>
    <w:r>
      <w:rPr>
        <w:color w:val="777777"/>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sz w:val="26"/>
        <w:szCs w:val="26"/>
      </w:rPr>
      <w:t xml:space="preserve">Whitfield Carter LLP</w:t>
    </w:r>
  </w:p>
  <w:p>
    <w:pPr>
      <w:pBdr>
        <w:bottom w:val="single" w:color="2E4A7B" w:sz="6" w:space="4"/>
      </w:pBdr>
      <w:spacing w:after="120"/>
    </w:pPr>
    <w:r>
      <w:rPr>
        <w:color w:val="555555"/>
        <w:sz w:val="16"/>
        <w:szCs w:val="16"/>
      </w:rPr>
      <w:t xml:space="preserve">22 Bishopsgate, London EC2N 4BQ  ·  DX 178 London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2026-06-26T18:11:15.078Z</dcterms:created>
  <dcterms:modified xsi:type="dcterms:W3CDTF">2026-06-26T18:11:15.078Z</dcterms:modified>
</cp:coreProperties>
</file>

<file path=docProps/custom.xml><?xml version="1.0" encoding="utf-8"?>
<Properties xmlns="http://schemas.openxmlformats.org/officeDocument/2006/custom-properties" xmlns:vt="http://schemas.openxmlformats.org/officeDocument/2006/docPropsVTypes"/>
</file>