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B00000"/>
          <w:sz w:val="18"/>
          <w:szCs w:val="18"/>
        </w:rPr>
        <w:t xml:space="preserve">PRIVILEGED &amp; CONFIDENTIAL – LEGAL ADVICE</w:t>
      </w:r>
    </w:p>
    <w:p>
      <w:pPr>
        <w:pStyle w:val="Heading1"/>
      </w:pPr>
      <w:r>
        <w:t xml:space="preserve">Advice Note – Sentencing Exposure under the Definitive Guideline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To</w:t>
            </w:r>
          </w:p>
        </w:tc>
        <w:tc>
          <w:tcPr>
            <w:tcW w:type="dxa" w:w="7026"/>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Richard Pennington (Chair/CEO); the Board</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From</w:t>
            </w:r>
          </w:p>
        </w:tc>
        <w:tc>
          <w:tcPr>
            <w:tcW w:type="dxa" w:w="7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Sarah Whitfield, with Harriet Stanford (Eldon Chambers)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Date</w:t>
            </w:r>
          </w:p>
        </w:tc>
        <w:tc>
          <w:tcPr>
            <w:tcW w:type="dxa" w:w="7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20 March 2026</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Re</w:t>
            </w:r>
          </w:p>
        </w:tc>
        <w:tc>
          <w:tcPr>
            <w:tcW w:type="dxa" w:w="70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WC-00149 / Project Sentinel – likely fine range if convicted</w:t>
            </w:r>
          </w:p>
        </w:tc>
      </w:tr>
    </w:tbl>
    <w:p>
      <w:pPr>
        <w:spacing w:after="120"/>
      </w:pPr>
      <w:r>
        <w:t xml:space="preserve">This note summarises our and Counsel’s view of the Company’s likely sentencing exposure if the HSE prosecutes and the Company is convicted (or pleads), applying the Sentencing Council’s Definitive Guideline for health and safety offences. It is privileged legal advice and must not be shared with the HSE or any third party.</w:t>
      </w:r>
    </w:p>
    <w:p>
      <w:pPr>
        <w:pStyle w:val="Heading2"/>
      </w:pPr>
      <w:r>
        <w:t xml:space="preserve">1.  The Guideline mechanism</w:t>
      </w:r>
    </w:p>
    <w:p>
      <w:pPr>
        <w:spacing w:after="120"/>
      </w:pPr>
      <w:r>
        <w:t xml:space="preserve">For a corporate defendant the court (i) determines culpability (very high / high / medium / low); (ii) determines harm by reference to the seriousness of harm risked (Level A–C), the likelihood of harm, and whether harm was realised; (iii) fixes a harm category (1–4); (iv) selects a starting point and range by reference to the offender’s turnover band (large / medium / small / micro); and (v) adjusts for aggravating and mitigating factors, totality, the means of the offender, and credit for plea.</w:t>
      </w:r>
    </w:p>
    <w:p>
      <w:pPr>
        <w:pStyle w:val="Heading2"/>
      </w:pPr>
      <w:r>
        <w:t xml:space="preserve">2.  Application to the Company</w:t>
      </w:r>
    </w:p>
    <w:p>
      <w:pPr>
        <w:spacing w:after="120"/>
      </w:pPr>
      <w:r>
        <w:t xml:space="preserve">Turnover. The Company’s most recent audited turnover is approximately £48 million, placing it within the “medium” organisation band (turnover £10m–£50m).</w:t>
      </w:r>
    </w:p>
    <w:p>
      <w:pPr>
        <w:spacing w:after="120"/>
      </w:pPr>
      <w:r>
        <w:t xml:space="preserve">Culpability. The HSE may argue high culpability on the basis that the risk from unguarded machinery was obvious and that the function-testing lapse was a serious systems failure. We will argue for medium: the control was designed in and failed through a maintenance lapse on a single machine, not a wholesale failure to address an obvious risk. We assess medium as the realistic landing point, while preparing for high.</w:t>
      </w:r>
    </w:p>
    <w:p>
      <w:pPr>
        <w:spacing w:after="120"/>
      </w:pPr>
      <w:r>
        <w:t xml:space="preserve">Harm. Seriousness of harm risked is Level A (the risk of amputation / serious permanent injury). Likelihood of harm is medium. Harm was realised and there was no actual exposure of multiple persons. This yields harm category 2.</w:t>
      </w:r>
    </w:p>
    <w:p>
      <w:pPr>
        <w:pStyle w:val="Heading2"/>
      </w:pPr>
      <w:r>
        <w:t xml:space="preserve">3.  Indicative figures</w:t>
      </w:r>
    </w:p>
    <w:p>
      <w:pPr>
        <w:spacing w:after="120"/>
      </w:pPr>
      <w:r>
        <w:t xml:space="preserve">For a medium organisation, medium culpability, harm category 2, the Guideline gives a starting point of £540,000 and a category range of £250,000 to £1,300,000. If the HSE succeeds in establishing high culpability, the starting point rises to £1,100,000 (range £550,000–£2,900,000). The figures below assume our target outcome of medium/medium/category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c>
          <w:tcPr>
            <w:tcW w:type="dxa" w:w="5600"/>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Step</w:t>
            </w:r>
          </w:p>
        </w:tc>
        <w:tc>
          <w:tcPr>
            <w:tcW w:type="dxa" w:w="3426"/>
            <w:tcBorders>
              <w:top w:val="single" w:color="BBBBBB" w:sz="1"/>
              <w:left w:val="single" w:color="BBBBBB" w:sz="1"/>
              <w:bottom w:val="single" w:color="BBBBBB" w:sz="1"/>
              <w:right w:val="single" w:color="BBBBBB" w:sz="1"/>
            </w:tcBorders>
            <w:shd w:fill="E7EDF5" w:val="clear"/>
            <w:tcMar>
              <w:top w:type="dxa" w:w="60"/>
              <w:left w:type="dxa" w:w="110"/>
              <w:bottom w:type="dxa" w:w="60"/>
              <w:right w:type="dxa" w:w="110"/>
            </w:tcMar>
          </w:tcPr>
          <w:p>
            <w:r>
              <w:rPr>
                <w:b/>
                <w:bCs/>
                <w:sz w:val="19"/>
                <w:szCs w:val="19"/>
              </w:rPr>
              <w:t xml:space="preserve">Figure</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Starting point (medium culpability, harm cat 2, medium org)</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£540,000</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Adjustment for aggravating/mitigating factors (net mitigation)</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–£140,000</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Figure before plea credit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£400,000</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Less credit for early guilty plea (one third)</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–£133,333</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Indicative fine after full credit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£266,667</w:t>
            </w:r>
          </w:p>
        </w:tc>
      </w:tr>
      <w:tr>
        <w:tc>
          <w:tcPr>
            <w:tcW w:type="dxa" w:w="5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HSE costs (FFI and investigation, est.)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£18,420</w:t>
            </w:r>
          </w:p>
        </w:tc>
      </w:tr>
    </w:tbl>
    <w:p>
      <w:pPr>
        <w:spacing w:after="120"/>
      </w:pPr>
      <w:r>
        <w:t xml:space="preserve">These figures are indicative only and will move with the facts found, the culpability the court accepts, and the credit available. We consider £400,000 before plea credit to be a realistic and defensible figure to work toward in any basis of plea, and we would resist any figure premised on high culpability.</w:t>
      </w:r>
    </w:p>
    <w:p>
      <w:pPr>
        <w:pStyle w:val="Heading2"/>
      </w:pPr>
      <w:r>
        <w:t xml:space="preserve">4.  Recommended strategy</w:t>
      </w:r>
    </w:p>
    <w:p>
      <w:pPr>
        <w:pStyle w:val="ListParagraph"/>
        <w:numPr>
          <w:ilvl w:val="0"/>
          <w:numId w:val="2"/>
        </w:numPr>
        <w:spacing w:after="80"/>
      </w:pPr>
      <w:r>
        <w:t xml:space="preserve">Continue full co-operation and complete remediation, evidencing it thoroughly – this is the strongest mitigation available and supports a medium-culpability characterisation.</w:t>
      </w:r>
    </w:p>
    <w:p>
      <w:pPr>
        <w:pStyle w:val="ListParagraph"/>
        <w:numPr>
          <w:ilvl w:val="0"/>
          <w:numId w:val="2"/>
        </w:numPr>
        <w:spacing w:after="80"/>
      </w:pPr>
      <w:r>
        <w:t xml:space="preserve">Seek to agree a basis of plea with the HSE that fixes culpability at medium and harm at category 2 before any plea is entered.</w:t>
      </w:r>
    </w:p>
    <w:p>
      <w:pPr>
        <w:pStyle w:val="ListParagraph"/>
        <w:numPr>
          <w:ilvl w:val="0"/>
          <w:numId w:val="2"/>
        </w:numPr>
        <w:spacing w:after="80"/>
      </w:pPr>
      <w:r>
        <w:t xml:space="preserve">Preserve the option of early plea to secure full one-third credit if prosecution proceeds and the basis is agreed.</w:t>
      </w:r>
    </w:p>
    <w:p>
      <w:pPr>
        <w:pStyle w:val="ListParagraph"/>
        <w:numPr>
          <w:ilvl w:val="0"/>
          <w:numId w:val="2"/>
        </w:numPr>
        <w:spacing w:after="80"/>
      </w:pPr>
      <w:r>
        <w:t xml:space="preserve">Keep the Board informed and ensure provision is made in the accounts once the range is sufficiently certain, on which we will liaise with the auditors as instructed.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sz w:val="26"/>
        <w:szCs w:val="26"/>
      </w:rPr>
      <w:t xml:space="preserve">Whitfield Carter LLP</w:t>
    </w:r>
  </w:p>
  <w:p>
    <w:pPr>
      <w:pBdr>
        <w:bottom w:val="single" w:color="2E4A7B" w:sz="6" w:space="4"/>
      </w:pBdr>
      <w:spacing w:after="120"/>
    </w:pPr>
    <w:r>
      <w:rPr>
        <w:color w:val="555555"/>
        <w:sz w:val="16"/>
        <w:szCs w:val="16"/>
      </w:rPr>
      <w:t xml:space="preserve">22 Bishopsgate, London EC2N 4BQ  ·  DX 178 London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2026-06-26T18:11:15.085Z</dcterms:created>
  <dcterms:modified xsi:type="dcterms:W3CDTF">2026-06-26T18:11:15.085Z</dcterms:modified>
</cp:coreProperties>
</file>

<file path=docProps/custom.xml><?xml version="1.0" encoding="utf-8"?>
<Properties xmlns="http://schemas.openxmlformats.org/officeDocument/2006/custom-properties" xmlns:vt="http://schemas.openxmlformats.org/officeDocument/2006/docPropsVTypes"/>
</file>