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sz w:val="18"/>
          <w:szCs w:val="18"/>
        </w:rPr>
        <w:t xml:space="preserve">Our ref: SW/PR-LIT/00175</w:t>
      </w:r>
    </w:p>
    <w:p>
      <w:pPr>
        <w:spacing w:after="120"/>
      </w:pPr>
      <w:r>
        <w:t xml:space="preserve">Marlowe Greaves LLP</w:t>
      </w:r>
    </w:p>
    <w:p>
      <w:pPr>
        <w:spacing w:after="120"/>
      </w:pPr>
      <w:r>
        <w:t xml:space="preserve">FAO Mr Martin Greaves</w:t>
      </w:r>
    </w:p>
    <w:p>
      <w:pPr>
        <w:spacing w:after="120"/>
      </w:pPr>
      <w:r>
        <w:t xml:space="preserve">8 Lincoln’s Inn Fields, London WC2A 3BP</w:t>
      </w:r>
    </w:p>
    <w:p>
      <w:pPr>
        <w:spacing w:after="120" w:before="100"/>
      </w:pPr>
      <w:r>
        <w:rPr>
          <w:i/>
          <w:iCs/>
        </w:rPr>
        <w:t xml:space="preserve">By email only</w:t>
      </w:r>
    </w:p>
    <w:p>
      <w:pPr>
        <w:spacing w:after="120"/>
      </w:pPr>
      <w:r>
        <w:rPr>
          <w:sz w:val="22"/>
          <w:szCs w:val="22"/>
        </w:rPr>
        <w:t xml:space="preserve">18 September 2025</w:t>
      </w:r>
    </w:p>
    <w:p>
      <w:pPr>
        <w:spacing w:after="120"/>
      </w:pPr>
      <w:r>
        <w:t xml:space="preserve">Dear Mr Greaves</w:t>
      </w:r>
    </w:p>
    <w:p>
      <w:pPr>
        <w:spacing w:after="120"/>
      </w:pPr>
      <w:r>
        <w:rPr>
          <w:b/>
          <w:bCs/>
        </w:rPr>
        <w:t xml:space="preserve">Penrose Robotics Limited v Caldervale Distribution Limited – Claim No. CL-2025-000287</w:t>
      </w:r>
    </w:p>
    <w:p>
      <w:pPr>
        <w:spacing w:after="120"/>
      </w:pPr>
      <w:r>
        <w:t xml:space="preserve">We write ahead of the Case Management Conference listed for 2 October 2025 to seek to agree directions and to narrow the issues.</w:t>
      </w:r>
    </w:p>
    <w:p>
      <w:pPr>
        <w:pStyle w:val="Heading2"/>
      </w:pPr>
      <w:r>
        <w:t xml:space="preserve">Disclosure</w:t>
      </w:r>
    </w:p>
    <w:p>
      <w:pPr>
        <w:spacing w:after="120"/>
      </w:pPr>
      <w:r>
        <w:t xml:space="preserve">We propose Model C extended disclosure by reference to the issues identified in the parties’ Disclosure Review Document. Our client’s principal requests are for: (a) Caldervale’s internal records of the SKU master build and any subsequent corrections; (b) the build specification and monitoring data for the OrchestraOS host environment; and (c) all documents relating to the promotional campaign launched on 21 October 2024 and its effect on order volumes.</w:t>
      </w:r>
    </w:p>
    <w:p>
      <w:pPr>
        <w:pStyle w:val="Heading2"/>
      </w:pPr>
      <w:r>
        <w:t xml:space="preserve">Expert evidence</w:t>
      </w:r>
    </w:p>
    <w:p>
      <w:pPr>
        <w:spacing w:after="120"/>
      </w:pPr>
      <w:r>
        <w:t xml:space="preserve">This dispute turns on whether the System was capable of meeting the Acceptance Criteria, and on the cause of the measured shortfall. We consider the issues fall within a single discipline – warehouse-automation and intralogistics performance – and we invite Caldervale to agree to a single joint expert. If Caldervale prefers party experts, we propose a sequential exchange followed by a joint statement. Our client has instructed Dr Alan Holloway of Holloway Intralogistics Consulting, whose preliminary report we expect to be in a position to serve shortly.</w:t>
      </w:r>
    </w:p>
    <w:p>
      <w:pPr>
        <w:pStyle w:val="Heading2"/>
      </w:pPr>
      <w:r>
        <w:t xml:space="preserve">Witnesses</w:t>
      </w:r>
    </w:p>
    <w:p>
      <w:pPr>
        <w:spacing w:after="120"/>
      </w:pPr>
      <w:r>
        <w:t xml:space="preserve">Our client anticipates calling Dr Marcus Penrose (CEO) and Ms Aisha Devlin (CTO). We would be grateful to know the identity of Caldervale’s intended witnesses so that a realistic trial estimate can be given. We presently estimate a five-day trial.</w:t>
      </w:r>
    </w:p>
    <w:p>
      <w:pPr>
        <w:pStyle w:val="Heading2"/>
      </w:pPr>
      <w:r>
        <w:t xml:space="preserve">Quantum and Scott Schedule</w:t>
      </w:r>
    </w:p>
    <w:p>
      <w:pPr>
        <w:spacing w:after="120"/>
      </w:pPr>
      <w:r>
        <w:t xml:space="preserve">Given the competing money claims, we propose that the parties prepare a Scott Schedule setting out, item by item, the sums claimed and counterclaimed, the basis of each, and the opposing party’s response. We enclose a draft for your consideration.</w:t>
      </w:r>
    </w:p>
    <w:p>
      <w:pPr>
        <w:spacing w:after="120"/>
      </w:pPr>
      <w:r>
        <w:t xml:space="preserve">We look forward to hearing from you so that, so far as possible, agreed directions can be placed before the Court.</w:t>
      </w:r>
    </w:p>
    <w:p>
      <w:pPr>
        <w:spacing w:after="60" w:before="160"/>
      </w:pPr>
      <w:r>
        <w:rPr>
          <w:sz w:val="22"/>
          <w:szCs w:val="22"/>
        </w:rPr>
        <w:t xml:space="preserve">Yours sincerely</w:t>
      </w:r>
    </w:p>
    <w:p>
      <w:pPr>
        <w:spacing w:before="160"/>
      </w:pPr>
      <w:r>
        <w:rPr>
          <w:b/>
          <w:bCs/>
          <w:sz w:val="22"/>
          <w:szCs w:val="22"/>
        </w:rPr>
        <w:t xml:space="preserve">Whitfield Carter LLP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spacing w:before="80"/>
    </w:pPr>
    <w:r>
      <w:rPr>
        <w:color w:val="777777"/>
        <w:sz w:val="14"/>
        <w:szCs w:val="14"/>
      </w:rPr>
      <w:t xml:space="preserve">Whitfield Carter LLP is a limited liability partnership. Confidential and may be legally privileged.</w:t>
    </w:r>
  </w:p>
  <w:p>
    <w:pPr>
      <w:jc w:val="right"/>
    </w:pPr>
    <w:r>
      <w:rPr>
        <w:color w:val="777777"/>
        <w:sz w:val="14"/>
        <w:szCs w:val="14"/>
      </w:rPr>
      <w:t xml:space="preserve">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864"/>
        <w:sz w:val="28"/>
        <w:szCs w:val="28"/>
      </w:rPr>
      <w:t xml:space="preserve">WHITFIELD CARTER LLP</w:t>
    </w:r>
  </w:p>
  <w:p>
    <w:pPr>
      <w:spacing w:after="20"/>
    </w:pPr>
    <w:r>
      <w:rPr>
        <w:color w:val="555555"/>
        <w:sz w:val="16"/>
        <w:szCs w:val="16"/>
      </w:rPr>
      <w:t xml:space="preserve">22 Bishopsgate, London EC2N 4BQ</w:t>
    </w:r>
  </w:p>
  <w:p>
    <w:pPr>
      <w:pBdr>
        <w:bottom w:val="single" w:color="1F3864" w:sz="6" w:space="6"/>
      </w:pBdr>
      <w:spacing w:after="120"/>
    </w:pPr>
    <w:r>
      <w:rPr>
        <w:color w:val="555555"/>
        <w:sz w:val="16"/>
        <w:szCs w:val="16"/>
      </w:rPr>
      <w:t xml:space="preserve">T +44 (0)20 7946 0500   DX 124 London   www.whitfieldcarter.com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20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680" w:hanging="4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2026-06-29T11:40:04.029Z</dcterms:created>
  <dcterms:modified xsi:type="dcterms:W3CDTF">2026-06-29T11:40:04.029Z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