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sz w:val="18"/>
          <w:szCs w:val="18"/>
        </w:rPr>
        <w:t xml:space="preserve">Our ref: SW/PR-LIT/00175</w:t>
      </w:r>
    </w:p>
    <w:p>
      <w:pPr>
        <w:spacing w:after="200"/>
        <w:jc w:val="right"/>
      </w:pPr>
      <w:r>
        <w:rPr>
          <w:sz w:val="18"/>
          <w:szCs w:val="18"/>
        </w:rPr>
        <w:t xml:space="preserve">Your ref: —</w:t>
      </w:r>
    </w:p>
    <w:p>
      <w:pPr>
        <w:spacing w:after="120"/>
      </w:pPr>
      <w:r>
        <w:rPr>
          <w:b/>
          <w:bCs/>
        </w:rPr>
        <w:t xml:space="preserve">PRIVATE &amp; CONFIDENTIAL</w:t>
      </w:r>
    </w:p>
    <w:p>
      <w:pPr>
        <w:spacing w:after="120"/>
      </w:pPr>
      <w:r>
        <w:t xml:space="preserve">BY EMAIL AND FIRST-CLASS POST</w:t>
      </w:r>
    </w:p>
    <w:p>
      <w:pPr>
        <w:spacing w:after="120"/>
      </w:pPr>
      <w:r>
        <w:t xml:space="preserve">The Directors</w:t>
      </w:r>
    </w:p>
    <w:p>
      <w:pPr>
        <w:spacing w:after="120"/>
      </w:pPr>
      <w:r>
        <w:t xml:space="preserve">Caldervale Distribution Limited</w:t>
      </w:r>
    </w:p>
    <w:p>
      <w:pPr>
        <w:spacing w:after="120"/>
      </w:pPr>
      <w:r>
        <w:t xml:space="preserve">Brackmills Logistics Park, Caswell Road</w:t>
      </w:r>
    </w:p>
    <w:p>
      <w:pPr>
        <w:spacing w:after="120"/>
      </w:pPr>
      <w:r>
        <w:t xml:space="preserve">Northampton NN4 7PW</w:t>
      </w:r>
    </w:p>
    <w:p>
      <w:pPr>
        <w:spacing w:after="120" w:before="120"/>
      </w:pPr>
      <w:r>
        <w:rPr>
          <w:sz w:val="22"/>
          <w:szCs w:val="22"/>
        </w:rPr>
        <w:t xml:space="preserve">10 March 2025</w:t>
      </w:r>
    </w:p>
    <w:p>
      <w:pPr>
        <w:spacing w:after="120"/>
      </w:pPr>
      <w:r>
        <w:t xml:space="preserve">Dear Sirs</w:t>
      </w:r>
    </w:p>
    <w:p>
      <w:pPr>
        <w:spacing w:after="120"/>
      </w:pPr>
      <w:r>
        <w:rPr>
          <w:b/>
          <w:bCs/>
        </w:rPr>
        <w:t xml:space="preserve">LETTER OF CLAIM – System Supply, Integration and Maintenance Agreement dated 22 January 2024 (the “Agreement”) between Penrose Robotics Limited (“Penrose”) and Caldervale Distribution Limited (“Caldervale”)</w:t>
      </w:r>
    </w:p>
    <w:p>
      <w:pPr>
        <w:spacing w:after="120"/>
      </w:pPr>
      <w:r>
        <w:t xml:space="preserve">We act for Penrose Robotics Limited. This letter is a letter of claim sent in accordance with the Pre-Action Protocol for Construction and Engineering Disputes, which the parties have agreed applies to this dispute by analogy. Please treat it with the urgency it merits and forward it to your insurers and solicitors immediately.</w:t>
      </w:r>
    </w:p>
    <w:p>
      <w:pPr>
        <w:pStyle w:val="Heading2"/>
      </w:pPr>
      <w:r>
        <w:t xml:space="preserve">1.  The parties and the Agreement</w:t>
      </w:r>
    </w:p>
    <w:p>
      <w:pPr>
        <w:pStyle w:val="ListParagraph"/>
        <w:numPr>
          <w:ilvl w:val="0"/>
          <w:numId w:val="2"/>
        </w:numPr>
        <w:spacing w:after="120"/>
      </w:pPr>
      <w:r>
        <w:t xml:space="preserve">By the Agreement, Penrose agreed to supply, install, integrate and maintain an automated goods-to-person fulfilment system comprising 84 Penrose A-Series autonomous mobile robots (“AMRs”), associated charging and docking infrastructure, and the Penrose OrchestraOS warehouse-management and fleet-orchestration software (together, the “System”) at Caldervale’s distribution centre at Royal Oak Way, Daventry NN11 8QL (the “DC”).</w:t>
      </w:r>
    </w:p>
    <w:p>
      <w:pPr>
        <w:pStyle w:val="ListParagraph"/>
        <w:numPr>
          <w:ilvl w:val="0"/>
          <w:numId w:val="2"/>
        </w:numPr>
        <w:spacing w:after="120"/>
      </w:pPr>
      <w:r>
        <w:t xml:space="preserve">The total contract price was £4,250,000 (exclusive of VAT), comprising £3,100,000 for system supply, £650,000 for integration and commissioning, and £500,000 for a five-year maintenance and support term. The price was payable against the milestones at Schedule 3 to the Agreement.</w:t>
      </w:r>
    </w:p>
    <w:p>
      <w:pPr>
        <w:pStyle w:val="ListParagraph"/>
        <w:numPr>
          <w:ilvl w:val="0"/>
          <w:numId w:val="2"/>
        </w:numPr>
        <w:spacing w:after="120"/>
      </w:pPr>
      <w:r>
        <w:t xml:space="preserve">Caldervale has paid Milestones 1 to 3 (order, hardware delivery and installation), totalling £2,650,000. Milestone 4 (System Acceptance), in the sum of £1,275,000, and the final integration tranche of £162,500, remain outstanding – a total of £1,437,500 (the “Outstanding Sums”).</w:t>
      </w:r>
    </w:p>
    <w:p>
      <w:pPr>
        <w:pStyle w:val="Heading2"/>
      </w:pPr>
      <w:r>
        <w:t xml:space="preserve">2.  Acceptance testing and Caldervale’s obligations</w:t>
      </w:r>
    </w:p>
    <w:p>
      <w:pPr>
        <w:pStyle w:val="ListParagraph"/>
        <w:numPr>
          <w:ilvl w:val="0"/>
          <w:numId w:val="2"/>
        </w:numPr>
        <w:spacing w:after="120"/>
      </w:pPr>
      <w:r>
        <w:t xml:space="preserve">Clause 8 and Schedule 4 provided for a 20-working-day Acceptance Period against two acceptance criteria: (a) a sustained average pick throughput of not less than 650 units per hour per zone across the DC’s six pick zones; and (b) fleet availability of not less than 98%. Schedule 4 expressly made those criteria conditional on Caldervale discharging its dependencies at clause 7, including the provision of an accurate SKU master and slotting dataset, a compliant WMS host environment meeting the specification at Schedule 5, and unobstructed access to the pick faces during testing.</w:t>
      </w:r>
    </w:p>
    <w:p>
      <w:pPr>
        <w:pStyle w:val="ListParagraph"/>
        <w:numPr>
          <w:ilvl w:val="0"/>
          <w:numId w:val="2"/>
        </w:numPr>
        <w:spacing w:after="120"/>
      </w:pPr>
      <w:r>
        <w:t xml:space="preserve">Caldervale did not discharge those dependencies. The SKU master supplied by Caldervale on 18 September 2024 contained dimensional and weight errors affecting approximately 22% of active SKUs, and the slotting data did not reflect the as-built rack layout. Caldervale also failed to provision the contracted WMS host environment, instead running OrchestraOS on an under-specified virtual environment that throttled order-release throughput. These failures are the direct cause of the throughput shortfall now complained of.</w:t>
      </w:r>
    </w:p>
    <w:p>
      <w:pPr>
        <w:pStyle w:val="Heading2"/>
      </w:pPr>
      <w:r>
        <w:t xml:space="preserve">3.  Caldervale’s breaches</w:t>
      </w:r>
    </w:p>
    <w:p>
      <w:pPr>
        <w:spacing w:after="120"/>
      </w:pPr>
      <w:r>
        <w:t xml:space="preserve">Penrose contends that Caldervale has acted in repudiatory breach of the Agreement. In particular:</w:t>
      </w:r>
    </w:p>
    <w:p>
      <w:pPr>
        <w:pStyle w:val="ListParagraph"/>
        <w:numPr>
          <w:ilvl w:val="0"/>
          <w:numId w:val="3"/>
        </w:numPr>
        <w:spacing w:after="100"/>
      </w:pPr>
      <w:r>
        <w:t xml:space="preserve">Caldervale wrongfully withheld the Outstanding Sums of £1,437,500, which fell due on issue of Penrose’s invoices dated 31 October 2024 and 15 November 2024, in breach of clause 12;</w:t>
      </w:r>
    </w:p>
    <w:p>
      <w:pPr>
        <w:pStyle w:val="ListParagraph"/>
        <w:numPr>
          <w:ilvl w:val="0"/>
          <w:numId w:val="3"/>
        </w:numPr>
        <w:spacing w:after="100"/>
      </w:pPr>
      <w:r>
        <w:t xml:space="preserve">Caldervale failed to discharge its clause 7 dependencies, and then sought to rely on the resulting performance shortfall as a ground for rejecting the System, in breach of clauses 7 and 8 and of the implied term of co-operation;</w:t>
      </w:r>
    </w:p>
    <w:p>
      <w:pPr>
        <w:pStyle w:val="ListParagraph"/>
        <w:numPr>
          <w:ilvl w:val="0"/>
          <w:numId w:val="3"/>
        </w:numPr>
        <w:spacing w:after="100"/>
      </w:pPr>
      <w:r>
        <w:t xml:space="preserve">by its letter dated 7 February 2025, Caldervale purported to terminate the Agreement for Penrose’s alleged repudiatory breach. That purported termination was itself a repudiation of the Agreement, which Penrose accepted by its solicitors’ letter dated 24 February 2025.</w:t>
      </w:r>
    </w:p>
    <w:p>
      <w:pPr>
        <w:pStyle w:val="Heading2"/>
      </w:pPr>
      <w:r>
        <w:t xml:space="preserve">4.  Penrose’s claim</w:t>
      </w:r>
    </w:p>
    <w:p>
      <w:pPr>
        <w:spacing w:after="120"/>
      </w:pPr>
      <w:r>
        <w:t xml:space="preserve">Penrose claims:</w:t>
      </w:r>
    </w:p>
    <w:p>
      <w:pPr>
        <w:pStyle w:val="ListParagraph"/>
        <w:numPr>
          <w:ilvl w:val="0"/>
          <w:numId w:val="4"/>
        </w:numPr>
        <w:spacing w:after="100"/>
      </w:pPr>
      <w:r>
        <w:t xml:space="preserve">the Outstanding Sums of £1,437,500, together with interest;</w:t>
      </w:r>
    </w:p>
    <w:p>
      <w:pPr>
        <w:pStyle w:val="ListParagraph"/>
        <w:numPr>
          <w:ilvl w:val="0"/>
          <w:numId w:val="4"/>
        </w:numPr>
        <w:spacing w:after="100"/>
      </w:pPr>
      <w:r>
        <w:t xml:space="preserve">damages for loss of the maintenance and support revenue stream over the unexpired term, presently estimated at £427,000;</w:t>
      </w:r>
    </w:p>
    <w:p>
      <w:pPr>
        <w:pStyle w:val="ListParagraph"/>
        <w:numPr>
          <w:ilvl w:val="0"/>
          <w:numId w:val="4"/>
        </w:numPr>
        <w:spacing w:after="100"/>
      </w:pPr>
      <w:r>
        <w:t xml:space="preserve">wasted costs and reasonable demobilisation costs of £138,500; and</w:t>
      </w:r>
    </w:p>
    <w:p>
      <w:pPr>
        <w:pStyle w:val="ListParagraph"/>
        <w:numPr>
          <w:ilvl w:val="0"/>
          <w:numId w:val="4"/>
        </w:numPr>
        <w:spacing w:after="100"/>
      </w:pPr>
      <w:r>
        <w:t xml:space="preserve">interest pursuant to clause 12.4 (4% over Bank of England base rate) alternatively under section 35A of the Senior Courts Act 1981, and costs.</w:t>
      </w:r>
    </w:p>
    <w:p>
      <w:pPr>
        <w:spacing w:after="120"/>
      </w:pPr>
      <w:r>
        <w:t xml:space="preserve">A schedule of loss is in preparation and will be served with the Particulars of Claim. Penrose’s total claim is presently quantified at approximately £2,003,000 plus interest and costs.</w:t>
      </w:r>
    </w:p>
    <w:p>
      <w:pPr>
        <w:pStyle w:val="Heading2"/>
      </w:pPr>
      <w:r>
        <w:t xml:space="preserve">5.  Documents and next steps</w:t>
      </w:r>
    </w:p>
    <w:p>
      <w:pPr>
        <w:spacing w:after="120"/>
      </w:pPr>
      <w:r>
        <w:t xml:space="preserve">Penrose relies on the Agreement and its Schedules, the acceptance-test logs generated by OrchestraOS for the period 7 October to 1 November 2024, the parties’ correspondence, and the dependency sign-off register. Copies of the principal documents are enclosed; the balance will be disclosed in the usual way.</w:t>
      </w:r>
    </w:p>
    <w:p>
      <w:pPr>
        <w:spacing w:after="120"/>
      </w:pPr>
      <w:r>
        <w:t xml:space="preserve">We invite Caldervale to provide a full written response within 28 days, addressing the matters raised above and confirming whether it accepts that its clause 7 dependencies were not met. Should Caldervale wish to propose mediation or another form of ADR, Penrose is willing to engage.</w:t>
      </w:r>
    </w:p>
    <w:p>
      <w:pPr>
        <w:spacing w:after="120"/>
      </w:pPr>
      <w:r>
        <w:t xml:space="preserve">In the absence of a satisfactory response within 28 days, Penrose reserves the right to issue proceedings in the Commercial Court without further notice, and to rely on this letter on the question of costs.</w:t>
      </w:r>
    </w:p>
    <w:p>
      <w:pPr>
        <w:spacing w:after="120"/>
      </w:pPr>
      <w:r>
        <w:t xml:space="preserve">Nothing in this letter is, or is to be taken as, a waiver of any of Penrose’s rights, all of which are expressly reserved.</w:t>
      </w:r>
    </w:p>
    <w:p>
      <w:pPr>
        <w:spacing w:after="60" w:before="160"/>
      </w:pPr>
      <w:r>
        <w:rPr>
          <w:sz w:val="22"/>
          <w:szCs w:val="22"/>
        </w:rPr>
        <w:t xml:space="preserve">Yours faithfully</w:t>
      </w:r>
    </w:p>
    <w:p>
      <w:pPr>
        <w:spacing w:after="0" w:before="200"/>
      </w:pPr>
      <w:r>
        <w:rPr>
          <w:b/>
          <w:bCs/>
          <w:sz w:val="22"/>
          <w:szCs w:val="22"/>
        </w:rPr>
        <w:t xml:space="preserve">Whitfield Carter LLP</w:t>
      </w:r>
    </w:p>
    <w:p>
      <w:pPr>
        <w:spacing w:after="120"/>
      </w:pPr>
      <w:r>
        <w:t xml:space="preserve">Whitfield Carter LLP</w:t>
      </w:r>
    </w:p>
    <w:p>
      <w:pPr>
        <w:spacing w:before="80"/>
      </w:pPr>
      <w:r>
        <w:rPr>
          <w:i/>
          <w:iCs/>
          <w:sz w:val="18"/>
          <w:szCs w:val="18"/>
        </w:rPr>
        <w:t xml:space="preserve">Enc.  Agreement and Schedules; acceptance-test summary; dependency sign-off register; key correspondence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6"/>
      </w:pBdr>
      <w:spacing w:before="80"/>
    </w:pPr>
    <w:r>
      <w:rPr>
        <w:color w:val="777777"/>
        <w:sz w:val="14"/>
        <w:szCs w:val="14"/>
      </w:rPr>
      <w:t xml:space="preserve">Whitfield Carter LLP is a limited liability partnership. Confidential and may be legally privileged.</w:t>
    </w:r>
  </w:p>
  <w:p>
    <w:pPr>
      <w:jc w:val="right"/>
    </w:pP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8"/>
        <w:szCs w:val="28"/>
      </w:rPr>
      <w:t xml:space="preserve">WHITFIELD CARTER LLP</w:t>
    </w:r>
  </w:p>
  <w:p>
    <w:pPr>
      <w:spacing w:after="20"/>
    </w:pPr>
    <w:r>
      <w:rPr>
        <w:color w:val="555555"/>
        <w:sz w:val="16"/>
        <w:szCs w:val="16"/>
      </w:rPr>
      <w:t xml:space="preserve">22 Bishopsgate, London EC2N 4BQ</w:t>
    </w:r>
  </w:p>
  <w:p>
    <w:pPr>
      <w:pBdr>
        <w:bottom w:val="single" w:color="1F3864" w:sz="6" w:space="6"/>
      </w:pBdr>
      <w:spacing w:after="120"/>
    </w:pPr>
    <w:r>
      <w:rPr>
        <w:color w:val="555555"/>
        <w:sz w:val="16"/>
        <w:szCs w:val="16"/>
      </w:rPr>
      <w:t xml:space="preserve">T +44 (0)20 7946 0500   DX 124 London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200" w:hanging="480"/>
      </w:pPr>
    </w:lvl>
  </w:abstractNum>
  <w:abstractNum w:abstractNumId="5" w15:restartNumberingAfterBreak="0">
    <w:multiLevelType w:val="hybridMultilevel"/>
    <w:lvl w:ilvl="0" w15:tentative="1">
      <w:start w:val="1"/>
      <w:numFmt w:val="lowerRoman"/>
      <w:lvlText w:val="(%1)"/>
      <w:lvlJc w:val="left"/>
      <w:pPr>
        <w:ind w:left="1680" w:hanging="4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2026-06-29T11:40:03.886Z</dcterms:created>
  <dcterms:modified xsi:type="dcterms:W3CDTF">2026-06-29T11:40:03.887Z</dcterms:modified>
</cp:coreProperties>
</file>

<file path=docProps/custom.xml><?xml version="1.0" encoding="utf-8"?>
<Properties xmlns="http://schemas.openxmlformats.org/officeDocument/2006/custom-properties" xmlns:vt="http://schemas.openxmlformats.org/officeDocument/2006/docPropsVTypes"/>
</file>