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b/>
          <w:bCs/>
        </w:rPr>
        <w:t xml:space="preserve">Claim No. CL-2025-000287</w:t>
      </w:r>
    </w:p>
    <w:p>
      <w:pPr>
        <w:jc w:val="right"/>
      </w:pPr>
      <w:r>
        <w:rPr>
          <w:sz w:val="18"/>
          <w:szCs w:val="18"/>
        </w:rPr>
        <w:t xml:space="preserve">Claimant: Penrose Robotics Limited</w:t>
      </w:r>
    </w:p>
    <w:p>
      <w:pPr>
        <w:spacing w:after="120"/>
        <w:jc w:val="right"/>
      </w:pPr>
      <w:r>
        <w:rPr>
          <w:sz w:val="18"/>
          <w:szCs w:val="18"/>
        </w:rPr>
        <w:t xml:space="preserve">Witness: M. Penrose | First statement | Exhibit MP1</w:t>
      </w:r>
    </w:p>
    <w:p>
      <w:pPr>
        <w:spacing w:after="120"/>
      </w:pPr>
      <w:r>
        <w:rPr>
          <w:b/>
          <w:bCs/>
        </w:rPr>
        <w:t xml:space="preserve">IN THE HIGH COURT OF JUSTICE – COMMERCIAL COURT (KBD)</w:t>
      </w:r>
    </w:p>
    <w:p>
      <w:pPr>
        <w:pBdr>
          <w:top w:val="single" w:color="000000" w:sz="6" w:space="4"/>
          <w:bottom w:val="single" w:color="000000" w:sz="6" w:space="4"/>
        </w:pBdr>
        <w:spacing w:after="200" w:before="160"/>
        <w:jc w:val="center"/>
      </w:pPr>
      <w:r>
        <w:rPr>
          <w:b/>
          <w:bCs/>
          <w:sz w:val="24"/>
          <w:szCs w:val="24"/>
        </w:rPr>
        <w:t xml:space="preserve">FIRST WITNESS STATEMENT OF DR MARCUS PENROSE</w:t>
      </w:r>
    </w:p>
    <w:p>
      <w:pPr>
        <w:spacing w:after="120"/>
      </w:pPr>
      <w:r>
        <w:t xml:space="preserve">I, DR MARCUS PENROSE, of Penrose Robotics Limited, 14 St John’s Innovation Park, Cambridge CB4 0WS, WILL SAY as follows:</w:t>
      </w:r>
    </w:p>
    <w:p>
      <w:pPr>
        <w:pStyle w:val="Heading2"/>
      </w:pPr>
      <w:r>
        <w:t xml:space="preserve">Introduction</w:t>
      </w:r>
    </w:p>
    <w:p>
      <w:pPr>
        <w:pStyle w:val="ListParagraph"/>
        <w:numPr>
          <w:ilvl w:val="0"/>
          <w:numId w:val="2"/>
        </w:numPr>
        <w:spacing w:after="120"/>
      </w:pPr>
      <w:r>
        <w:t xml:space="preserve">I am the founder and Chief Executive Officer of the Claimant, Penrose Robotics Limited (“Penrose”). I make this statement from my own knowledge, save where I indicate otherwise, in which case I give the source of my information and believe it to be true. There is now produced and shown to me a paginated bundle of documents marked “MP1” to which I refer.</w:t>
      </w:r>
    </w:p>
    <w:p>
      <w:pPr>
        <w:pStyle w:val="ListParagraph"/>
        <w:numPr>
          <w:ilvl w:val="0"/>
          <w:numId w:val="2"/>
        </w:numPr>
        <w:spacing w:after="120"/>
      </w:pPr>
      <w:r>
        <w:t xml:space="preserve">I have been involved with the Caldervale project from the initial tender in late 2023 through to the breakdown of the relationship in February 2025. I attended the principal commercial and technical meetings and I am familiar with the contemporaneous records.</w:t>
      </w:r>
    </w:p>
    <w:p>
      <w:pPr>
        <w:pStyle w:val="Heading2"/>
      </w:pPr>
      <w:r>
        <w:t xml:space="preserve">The Agreement and the System</w:t>
      </w:r>
    </w:p>
    <w:p>
      <w:pPr>
        <w:pStyle w:val="ListParagraph"/>
        <w:numPr>
          <w:ilvl w:val="0"/>
          <w:numId w:val="2"/>
        </w:numPr>
        <w:spacing w:after="120"/>
      </w:pPr>
      <w:r>
        <w:t xml:space="preserve">Penrose and Caldervale entered into the Agreement on 22 January 2024. Penrose was to supply, integrate and maintain an 84-robot goods-to-person system at Caldervale’s Daventry distribution centre, running on our OrchestraOS software. The contract price was £4.25m. I deal below with the acceptance regime, which is at the heart of this dispute.</w:t>
      </w:r>
    </w:p>
    <w:p>
      <w:pPr>
        <w:pStyle w:val="ListParagraph"/>
        <w:numPr>
          <w:ilvl w:val="0"/>
          <w:numId w:val="2"/>
        </w:numPr>
        <w:spacing w:after="120"/>
      </w:pPr>
      <w:r>
        <w:t xml:space="preserve">The two acceptance metrics – 650 units/hour/zone and 98% availability – were demanding but achievable, and our A-Series fleet had met or exceeded comparable figures at two earlier deployments. Critically, however, the figures depended on Caldervale providing accurate warehouse data and a properly specified host environment. We made that dependency explicit in clause 7 and Schedule 5, and I personally walked Caldervale’s operations director, Mr Tovey, through it at the kick-off workshop on 6 February 2024.</w:t>
      </w:r>
    </w:p>
    <w:p>
      <w:pPr>
        <w:pStyle w:val="Heading2"/>
      </w:pPr>
      <w:r>
        <w:t xml:space="preserve">Caldervale’s data and host environment</w:t>
      </w:r>
    </w:p>
    <w:p>
      <w:pPr>
        <w:pStyle w:val="ListParagraph"/>
        <w:numPr>
          <w:ilvl w:val="0"/>
          <w:numId w:val="2"/>
        </w:numPr>
        <w:spacing w:after="120"/>
      </w:pPr>
      <w:r>
        <w:t xml:space="preserve">When Caldervale handed over its SKU master on 18 September 2024, our integration team flagged within 48 hours that a large proportion of records had incorrect dimensions or weights. Our analysis (at MP1/142) put the figure at about 22% of active SKUs. Inaccurate dimensions cause the orchestration engine to mis-plan tote fill and robot routing, which directly depresses throughput. We raised this in writing on 20 September 2024 (MP1/150).</w:t>
      </w:r>
    </w:p>
    <w:p>
      <w:pPr>
        <w:pStyle w:val="ListParagraph"/>
        <w:numPr>
          <w:ilvl w:val="0"/>
          <w:numId w:val="2"/>
        </w:numPr>
        <w:spacing w:after="120"/>
      </w:pPr>
      <w:r>
        <w:t xml:space="preserve">Separately, Caldervale never gave us the host environment we had specified. Schedule 5 required a dedicated environment with sub-5ms host latency. Instead OrchestraOS was placed on a shared virtual machine where we measured average host latency of 31ms. At that latency the order-release loop cannot sustain the contractual throughput. I explained this to Mr Tovey and to Caldervale’s IT manager on a call on 9 October 2024.</w:t>
      </w:r>
    </w:p>
    <w:p>
      <w:pPr>
        <w:pStyle w:val="ListParagraph"/>
        <w:numPr>
          <w:ilvl w:val="0"/>
          <w:numId w:val="2"/>
        </w:numPr>
        <w:spacing w:after="120"/>
      </w:pPr>
      <w:r>
        <w:t xml:space="preserve">On 21 October 2024, in the middle of the Acceptance Period, Caldervale launched an unscheduled promotional campaign that flooded the DC with small single-line orders outside the agreed test profile. This was precisely the kind of disturbance the agreed test parameters were designed to exclude. We objected the same day.</w:t>
      </w:r>
    </w:p>
    <w:p>
      <w:pPr>
        <w:pStyle w:val="Heading2"/>
      </w:pPr>
      <w:r>
        <w:t xml:space="preserve">Acceptance, invoices and termination</w:t>
      </w:r>
    </w:p>
    <w:p>
      <w:pPr>
        <w:pStyle w:val="ListParagraph"/>
        <w:numPr>
          <w:ilvl w:val="0"/>
          <w:numId w:val="2"/>
        </w:numPr>
        <w:spacing w:after="120"/>
      </w:pPr>
      <w:r>
        <w:t xml:space="preserve">Despite these self-inflicted constraints, the System performed creditably. Our OrchestraOS logs show that, in the zones and periods where Caldervale’s data was clean and the promotional spike had passed, throughput exceeded 650 units/hour/zone. The blended average Caldervale relies on is dragged down by its own data errors and the promotional surge.</w:t>
      </w:r>
    </w:p>
    <w:p>
      <w:pPr>
        <w:pStyle w:val="ListParagraph"/>
        <w:numPr>
          <w:ilvl w:val="0"/>
          <w:numId w:val="2"/>
        </w:numPr>
        <w:spacing w:after="120"/>
      </w:pPr>
      <w:r>
        <w:t xml:space="preserve">Penrose invoiced Milestone 4 (£1,275,000) on 31 October 2024 and the final integration tranche (£162,500) on 15 November 2024. Caldervale paid neither. On 7 February 2025 Caldervale wrote purporting to terminate the Agreement and to reject the System. I was dismayed: the contract longstop had not, on our analysis, been reached, and the performance issues were of Caldervale’s own making.</w:t>
      </w:r>
    </w:p>
    <w:p>
      <w:pPr>
        <w:pStyle w:val="ListParagraph"/>
        <w:numPr>
          <w:ilvl w:val="0"/>
          <w:numId w:val="2"/>
        </w:numPr>
        <w:spacing w:after="120"/>
      </w:pPr>
      <w:r>
        <w:t xml:space="preserve">Penrose accepted Caldervale’s repudiation on 24 February 2025. We have since had to demobilise the deployment team and we have lost the five-year maintenance revenue that the Agreement provided for. The financial consequences for a company of our size are significant.</w:t>
      </w:r>
    </w:p>
    <w:p>
      <w:pPr>
        <w:pStyle w:val="Heading2"/>
      </w:pPr>
      <w:r>
        <w:t xml:space="preserve">Conclusion</w:t>
      </w:r>
    </w:p>
    <w:p>
      <w:pPr>
        <w:pStyle w:val="ListParagraph"/>
        <w:numPr>
          <w:ilvl w:val="0"/>
          <w:numId w:val="2"/>
        </w:numPr>
        <w:spacing w:after="120"/>
      </w:pPr>
      <w:r>
        <w:t xml:space="preserve">In my view, this System would have passed acceptance comfortably had Caldervale met its obligations on data and hosting. The shortfall Caldervale complains of is the predictable consequence of its own failures, not of any defect in Penrose’s technology.</w:t>
      </w:r>
    </w:p>
    <w:p>
      <w:pPr>
        <w:spacing w:after="80" w:before="200"/>
      </w:pPr>
      <w:r>
        <w:rPr>
          <w:b/>
          <w:bCs/>
        </w:rPr>
        <w:t xml:space="preserve">Statement of truth</w:t>
      </w:r>
    </w:p>
    <w:p>
      <w:pPr>
        <w:spacing w:after="12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before="160"/>
      </w:pPr>
      <w:r>
        <w:t xml:space="preserve">Signed: .............................................</w:t>
      </w:r>
    </w:p>
    <w:p>
      <w:pPr>
        <w:spacing w:after="120"/>
      </w:pPr>
      <w:r>
        <w:t xml:space="preserve">Dr Marcus Penrose</w:t>
      </w:r>
    </w:p>
    <w:p>
      <w:pPr>
        <w:spacing w:after="120"/>
      </w:pPr>
      <w:r>
        <w:t xml:space="preserve">Dated: 28 October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200" w:hanging="480"/>
      </w:pPr>
    </w:lvl>
  </w:abstractNum>
  <w:abstractNum w:abstractNumId="5" w15:restartNumberingAfterBreak="0">
    <w:multiLevelType w:val="hybridMultilevel"/>
    <w:lvl w:ilvl="0" w15:tentative="1">
      <w:start w:val="1"/>
      <w:numFmt w:val="lowerRoman"/>
      <w:lvlText w:val="(%1)"/>
      <w:lvlJc w:val="left"/>
      <w:pPr>
        <w:ind w:left="16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2026-06-29T11:40:03.979Z</dcterms:created>
  <dcterms:modified xsi:type="dcterms:W3CDTF">2026-06-29T11:40:03.979Z</dcterms:modified>
</cp:coreProperties>
</file>

<file path=docProps/custom.xml><?xml version="1.0" encoding="utf-8"?>
<Properties xmlns="http://schemas.openxmlformats.org/officeDocument/2006/custom-properties" xmlns:vt="http://schemas.openxmlformats.org/officeDocument/2006/docPropsVTypes"/>
</file>