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right"/>
      </w:pPr>
      <w:r>
        <w:rPr>
          <w:b/>
          <w:bCs/>
        </w:rPr>
        <w:t xml:space="preserve">Claim No. CL-2025-000287</w:t>
      </w:r>
    </w:p>
    <w:p>
      <w:pPr>
        <w:pStyle w:val="Heading1"/>
      </w:pPr>
      <w:r>
        <w:t xml:space="preserve">Penrose Robotics Limited v Caldervale Distribution Limited</w:t>
      </w:r>
    </w:p>
    <w:p>
      <w:pPr>
        <w:spacing w:after="120"/>
      </w:pPr>
      <w:r>
        <w:rPr>
          <w:b/>
          <w:bCs/>
        </w:rPr>
        <w:t xml:space="preserve">CHRONOLOGY (for Case Management Conference, 2 October 2025)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Prepared by Whitfield Carter LLP, solicitors for the Claimant. This chronology is neutral and agreed save where indicated.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360"/>
        <w:gridCol w:w="1500"/>
      </w:tblGrid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Ref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22 Jan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System Supply, Integration and Maintenance Agreement signed. Price £4,250,000.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Agreement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06 Feb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Project kick-off workshop; dependencies (clause 7 / Sch 5) walked through with Mr Tovey.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MP1/12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30 Aug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84 AMRs and infrastructure delivered to Daventry DC. Milestone 2 certified.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DN-0830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18 Sep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Caldervale supplies SKU master and slotting data.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MP1/138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 Sep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Penrose notifies Caldervale of dimensional/weight errors in ~22% of active SKUs.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MP1/150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20 Sep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Installation complete; Milestone 3 certified (£900,000 paid).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Cert-M3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07 Oct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Phased go-live; Acceptance Period commences.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Logs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09 Oct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Call re host-environment latency (31ms vs Sch 5 sub-5ms).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MP1/161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21 Oct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Caldervale launches unscheduled promotional campaign; order profile breached.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MP1/170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31 Oct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Penrose issues invoice PR-2024-0418 (Milestone 4, £1,275,000).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Inv-0418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01 Nov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Acceptance Period ends. Caldervale asserts throughput 521 u/h, availability 93.8%.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CV-rec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15 Nov 2024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Penrose issues invoice PR-2024-0427 (integration final, £162,500).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Inv-0427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07 Feb 2025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Caldervale purports to terminate Agreement and reject System.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CV-Term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24 Feb 2025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Penrose accepts Caldervale’s repudiation.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WC-Acc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10 Mar 2025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Letter before action sent by Whitfield Carter LLP.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LBA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12 May 2025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Claim issued; Particulars of Claim served. Claim No. CL-2025-000287.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PoC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09 Jul 2025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Defence and Counterclaim served (counterclaim £2,100,000).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Def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02 Oct 2025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Case Management Conference; directions to trial.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</w:rPr>
              <w:t xml:space="preserve">CMC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/>
    </w:r>
    <w:r>
      <w:rPr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2026-06-29T11:40:04.010Z</dcterms:created>
  <dcterms:modified xsi:type="dcterms:W3CDTF">2026-06-29T11:40:04.010Z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