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64"/>
        <w:jc w:val="center"/>
      </w:pPr>
      <w:r>
        <w:rPr>
          <w:i/>
          <w:iCs/>
        </w:rPr>
        <w:t xml:space="preserve">The Companies Act 2006</w:t>
      </w:r>
    </w:p>
    <w:p>
      <w:pPr>
        <w:spacing w:after="200" w:line="264"/>
        <w:jc w:val="center"/>
      </w:pPr>
      <w:r>
        <w:rPr>
          <w:i/>
          <w:iCs/>
        </w:rPr>
        <w:t xml:space="preserve">Private Company Limited by Shares</w:t>
      </w:r>
    </w:p>
    <w:p>
      <w:pPr>
        <w:spacing w:after="100" w:line="264"/>
        <w:jc w:val="center"/>
      </w:pPr>
      <w:r>
        <w:rPr>
          <w:b/>
          <w:bCs/>
          <w:sz w:val="30"/>
          <w:szCs w:val="30"/>
        </w:rPr>
        <w:t xml:space="preserve">ARTICLES OF ASSOCIATION</w:t>
      </w:r>
    </w:p>
    <w:p>
      <w:pPr>
        <w:spacing w:after="60" w:line="264"/>
        <w:jc w:val="center"/>
      </w:pPr>
      <w:r>
        <w:rPr>
          <w:sz w:val="22"/>
          <w:szCs w:val="22"/>
        </w:rPr>
        <w:t xml:space="preserve">of</w:t>
      </w:r>
    </w:p>
    <w:p>
      <w:pPr>
        <w:spacing w:after="80" w:line="264"/>
        <w:jc w:val="center"/>
      </w:pPr>
      <w:r>
        <w:rPr>
          <w:b/>
          <w:bCs/>
          <w:sz w:val="26"/>
          <w:szCs w:val="26"/>
        </w:rPr>
        <w:t xml:space="preserve">PENROSE ROBOTICS LIMITED</w:t>
      </w:r>
    </w:p>
    <w:p>
      <w:pPr>
        <w:spacing w:after="60" w:line="264"/>
        <w:jc w:val="center"/>
      </w:pPr>
      <w:r>
        <w:rPr>
          <w:sz w:val="18"/>
          <w:szCs w:val="18"/>
        </w:rPr>
        <w:t xml:space="preserve">(Company number 12648931)</w:t>
      </w:r>
    </w:p>
    <w:p>
      <w:pPr>
        <w:spacing w:after="360" w:line="264"/>
        <w:jc w:val="center"/>
      </w:pPr>
      <w:r>
        <w:rPr>
          <w:i/>
          <w:iCs/>
          <w:sz w:val="18"/>
          <w:szCs w:val="18"/>
        </w:rPr>
        <w:t xml:space="preserve">(adopted by special resolution passed on 14 November 2025)</w:t>
      </w:r>
    </w:p>
    <w:p>
      <w:pPr>
        <w:tabs>
          <w:tab w:val="1" w:pos="620"/>
        </w:tabs>
        <w:spacing w:after="80" w:before="200" w:line="264"/>
      </w:pPr>
      <w:r>
        <w:rPr>
          <w:b/>
          <w:bCs/>
        </w:rPr>
        <w:t xml:space="preserve">1.</w:t>
      </w:r>
      <w:r>
        <w:rPr>
          <w:b/>
          <w:bCs/>
        </w:rPr>
        <w:t xml:space="preserve">	Preliminary</w:t>
      </w:r>
    </w:p>
    <w:p>
      <w:pPr>
        <w:tabs>
          <w:tab w:val="1" w:pos="620"/>
        </w:tabs>
        <w:spacing w:after="100" w:line="264"/>
        <w:ind w:left="620" w:hanging="620"/>
      </w:pPr>
      <w:r>
        <w:t xml:space="preserve">1.1	</w:t>
      </w:r>
      <w:r>
        <w:t xml:space="preserve">The model articles for private companies limited by shares (as prescribed by the Companies (Model Articles) Regulations 2008) do not apply to the Company except so far as they are repeated or expressly incorporated in these Articles.</w:t>
      </w:r>
    </w:p>
    <w:p>
      <w:pPr>
        <w:tabs>
          <w:tab w:val="1" w:pos="620"/>
        </w:tabs>
        <w:spacing w:after="100" w:line="264"/>
        <w:ind w:left="620" w:hanging="620"/>
      </w:pPr>
      <w:r>
        <w:t xml:space="preserve">1.2	</w:t>
      </w:r>
      <w:r>
        <w:t xml:space="preserve">In these Articles, unless the context otherwise requires, “Series A Shares” means the series A preferred shares of £0.0001 each, “Ordinary Shares” means the ordinary shares of £0.0001 each, and “Investor Majority” means the holders of more than 50% in nominal value of the Series A Shares.</w:t>
      </w:r>
    </w:p>
    <w:p>
      <w:pPr>
        <w:tabs>
          <w:tab w:val="1" w:pos="620"/>
        </w:tabs>
        <w:spacing w:after="80" w:before="200" w:line="264"/>
      </w:pPr>
      <w:r>
        <w:rPr>
          <w:b/>
          <w:bCs/>
        </w:rPr>
        <w:t xml:space="preserve">2.</w:t>
      </w:r>
      <w:r>
        <w:rPr>
          <w:b/>
          <w:bCs/>
        </w:rPr>
        <w:t xml:space="preserve">	Share capital and classes</w:t>
      </w:r>
    </w:p>
    <w:p>
      <w:pPr>
        <w:tabs>
          <w:tab w:val="1" w:pos="620"/>
        </w:tabs>
        <w:spacing w:after="100" w:line="264"/>
        <w:ind w:left="620" w:hanging="620"/>
      </w:pPr>
      <w:r>
        <w:t xml:space="preserve">2.1	</w:t>
      </w:r>
      <w:r>
        <w:t xml:space="preserve">The share capital of the Company comprises Ordinary Shares and Series A Shares. The rights attaching to each class are set out in these Articles.</w:t>
      </w:r>
    </w:p>
    <w:p>
      <w:pPr>
        <w:tabs>
          <w:tab w:val="1" w:pos="620"/>
        </w:tabs>
        <w:spacing w:after="100" w:line="264"/>
        <w:ind w:left="620" w:hanging="620"/>
      </w:pPr>
      <w:r>
        <w:t xml:space="preserve">2.2	</w:t>
      </w:r>
      <w:r>
        <w:t xml:space="preserve">The Series A Shares rank ahead of the Ordinary Shares as to the Liquidation Preference and (where declared) dividends, and rank pari passu with the Ordinary Shares in all other respects save as set out in these Articles.</w:t>
      </w:r>
    </w:p>
    <w:p>
      <w:pPr>
        <w:tabs>
          <w:tab w:val="1" w:pos="620"/>
        </w:tabs>
        <w:spacing w:after="80" w:before="200" w:line="264"/>
      </w:pPr>
      <w:r>
        <w:rPr>
          <w:b/>
          <w:bCs/>
        </w:rPr>
        <w:t xml:space="preserve">3.</w:t>
      </w:r>
      <w:r>
        <w:rPr>
          <w:b/>
          <w:bCs/>
        </w:rPr>
        <w:t xml:space="preserve">	Dividends</w:t>
      </w:r>
    </w:p>
    <w:p>
      <w:pPr>
        <w:tabs>
          <w:tab w:val="1" w:pos="620"/>
        </w:tabs>
        <w:spacing w:after="100" w:line="264"/>
        <w:ind w:left="620" w:hanging="620"/>
      </w:pPr>
      <w:r>
        <w:t xml:space="preserve">3.1	</w:t>
      </w:r>
      <w:r>
        <w:t xml:space="preserve">The Series A Shares carry the right, in priority to the Ordinary Shares, to a non-cumulative preferential dividend if and when declared by the Board, at such rate as the Board may determine. No dividend may be paid on the Ordinary Shares unless any preferential dividend then due on the Series A Shares has been paid.</w:t>
      </w:r>
    </w:p>
    <w:p>
      <w:pPr>
        <w:tabs>
          <w:tab w:val="1" w:pos="620"/>
        </w:tabs>
        <w:spacing w:after="80" w:before="200" w:line="264"/>
      </w:pPr>
      <w:r>
        <w:rPr>
          <w:b/>
          <w:bCs/>
        </w:rPr>
        <w:t xml:space="preserve">4.</w:t>
      </w:r>
      <w:r>
        <w:rPr>
          <w:b/>
          <w:bCs/>
        </w:rPr>
        <w:t xml:space="preserve">	Liquidation preference</w:t>
      </w:r>
    </w:p>
    <w:p>
      <w:pPr>
        <w:tabs>
          <w:tab w:val="1" w:pos="620"/>
        </w:tabs>
        <w:spacing w:after="100" w:line="264"/>
        <w:ind w:left="620" w:hanging="620"/>
      </w:pPr>
      <w:r>
        <w:t xml:space="preserve">4.1	</w:t>
      </w:r>
      <w:r>
        <w:t xml:space="preserve">On a Return of Capital (including a winding-up or a Sale treated as a deemed liquidation), the assets available for distribution shall be applied: first, in paying to the holders of Series A Shares an amount equal to one times the Issue Price (£8.00) per Series A Share plus any declared but unpaid dividends (the “Liquidation Preference”); and thereafter, the balance among the holders of Ordinary Shares (and the Series A Shares on an as-converted basis only to the extent a holder elects to convert).</w:t>
      </w:r>
    </w:p>
    <w:p>
      <w:pPr>
        <w:tabs>
          <w:tab w:val="1" w:pos="620"/>
        </w:tabs>
        <w:spacing w:after="100" w:line="264"/>
        <w:ind w:left="620" w:hanging="620"/>
      </w:pPr>
      <w:r>
        <w:t xml:space="preserve">4.2	</w:t>
      </w:r>
      <w:r>
        <w:t xml:space="preserve">The Series A Shares are non-participating: a holder receives the greater of (a) the Liquidation Preference and (b) the amount it would receive if it had converted its Series A Shares into Ordinary Shares immediately before the Return of Capital, but not both.</w:t>
      </w:r>
    </w:p>
    <w:p>
      <w:pPr>
        <w:tabs>
          <w:tab w:val="1" w:pos="620"/>
        </w:tabs>
        <w:spacing w:after="80" w:before="200" w:line="264"/>
      </w:pPr>
      <w:r>
        <w:rPr>
          <w:b/>
          <w:bCs/>
        </w:rPr>
        <w:t xml:space="preserve">5.</w:t>
      </w:r>
      <w:r>
        <w:rPr>
          <w:b/>
          <w:bCs/>
        </w:rPr>
        <w:t xml:space="preserve">	Conversion</w:t>
      </w:r>
    </w:p>
    <w:p>
      <w:pPr>
        <w:tabs>
          <w:tab w:val="1" w:pos="620"/>
        </w:tabs>
        <w:spacing w:after="100" w:line="264"/>
        <w:ind w:left="620" w:hanging="620"/>
      </w:pPr>
      <w:r>
        <w:t xml:space="preserve">5.1	</w:t>
      </w:r>
      <w:r>
        <w:t xml:space="preserve">Each Series A Share is convertible at the option of the holder at any time into one Ordinary Share (subject to adjustment under Article 6), and converts automatically on a Qualifying IPO or upon written election of an Investor Majority.</w:t>
      </w:r>
    </w:p>
    <w:p>
      <w:pPr>
        <w:tabs>
          <w:tab w:val="1" w:pos="620"/>
        </w:tabs>
        <w:spacing w:after="80" w:before="200" w:line="264"/>
      </w:pPr>
      <w:r>
        <w:rPr>
          <w:b/>
          <w:bCs/>
        </w:rPr>
        <w:t xml:space="preserve">6.</w:t>
      </w:r>
      <w:r>
        <w:rPr>
          <w:b/>
          <w:bCs/>
        </w:rPr>
        <w:t xml:space="preserve">	Anti-dilution</w:t>
      </w:r>
    </w:p>
    <w:p>
      <w:pPr>
        <w:tabs>
          <w:tab w:val="1" w:pos="620"/>
        </w:tabs>
        <w:spacing w:after="100" w:line="264"/>
        <w:ind w:left="620" w:hanging="620"/>
      </w:pPr>
      <w:r>
        <w:t xml:space="preserve">6.1	</w:t>
      </w:r>
      <w:r>
        <w:t xml:space="preserve">If the Company issues Equity Securities (other than Permitted Issues) at a price per share less than the Issue Price, the number of Ordinary Shares into which each Series A Share converts shall be adjusted on a broad-based weighted-average basis in accordance with the formula CP2 = CP1 × (A + B) / (A + C), where CP1 is the conversion price in effect immediately before the new issue, A is the number of shares deemed outstanding immediately before the new issue, B is the number of shares that the aggregate consideration would purchase at CP1, and C is the number of new shares actually issued.</w:t>
      </w:r>
    </w:p>
    <w:p>
      <w:pPr>
        <w:tabs>
          <w:tab w:val="1" w:pos="620"/>
        </w:tabs>
        <w:spacing w:after="80" w:before="200" w:line="264"/>
      </w:pPr>
      <w:r>
        <w:rPr>
          <w:b/>
          <w:bCs/>
        </w:rPr>
        <w:t xml:space="preserve">7.</w:t>
      </w:r>
      <w:r>
        <w:rPr>
          <w:b/>
          <w:bCs/>
        </w:rPr>
        <w:t xml:space="preserve">	Pre-emption on new issues</w:t>
      </w:r>
    </w:p>
    <w:p>
      <w:pPr>
        <w:tabs>
          <w:tab w:val="1" w:pos="620"/>
        </w:tabs>
        <w:spacing w:after="100" w:line="264"/>
        <w:ind w:left="620" w:hanging="620"/>
      </w:pPr>
      <w:r>
        <w:t xml:space="preserve">7.1	</w:t>
      </w:r>
      <w:r>
        <w:t xml:space="preserve">Save in respect of Permitted Issues, new Equity Securities must first be offered to existing members pro rata to their holdings (treating the Series A Shares on an as-converted basis) by written offer open for at least 15 Business Days. Securities not taken up may be offered to third parties within three months on no more favourable terms.</w:t>
      </w:r>
    </w:p>
    <w:p>
      <w:pPr>
        <w:tabs>
          <w:tab w:val="1" w:pos="620"/>
        </w:tabs>
        <w:spacing w:after="80" w:before="200" w:line="264"/>
      </w:pPr>
      <w:r>
        <w:rPr>
          <w:b/>
          <w:bCs/>
        </w:rPr>
        <w:t xml:space="preserve">8.</w:t>
      </w:r>
      <w:r>
        <w:rPr>
          <w:b/>
          <w:bCs/>
        </w:rPr>
        <w:t xml:space="preserve">	Transfers of shares and pre-emption on transfer</w:t>
      </w:r>
    </w:p>
    <w:p>
      <w:pPr>
        <w:tabs>
          <w:tab w:val="1" w:pos="620"/>
        </w:tabs>
        <w:spacing w:after="100" w:line="264"/>
        <w:ind w:left="620" w:hanging="620"/>
      </w:pPr>
      <w:r>
        <w:t xml:space="preserve">8.1	</w:t>
      </w:r>
      <w:r>
        <w:t xml:space="preserve">No share may be transferred otherwise than in accordance with these Articles. A member wishing to transfer shares (other than a Permitted Transfer) must first offer them to the other members pro rata by serving a Transfer Notice; the price is as agreed or, failing agreement, the Fair Value certified by the Auditors.</w:t>
      </w:r>
    </w:p>
    <w:p>
      <w:pPr>
        <w:tabs>
          <w:tab w:val="1" w:pos="620"/>
        </w:tabs>
        <w:spacing w:after="100" w:line="264"/>
        <w:ind w:left="620" w:hanging="620"/>
      </w:pPr>
      <w:r>
        <w:t xml:space="preserve">8.2	</w:t>
      </w:r>
      <w:r>
        <w:t xml:space="preserve">Permitted Transfers include transfers by an Investor to an Affiliate or to another fund managed or advised by the same manager, and transfers by a Founder to a family trust approved by the Board, in each case on terms that the transferee adheres to the Subscription Agreement.</w:t>
      </w:r>
    </w:p>
    <w:p>
      <w:pPr>
        <w:tabs>
          <w:tab w:val="1" w:pos="620"/>
        </w:tabs>
        <w:spacing w:after="80" w:before="200" w:line="264"/>
      </w:pPr>
      <w:r>
        <w:rPr>
          <w:b/>
          <w:bCs/>
        </w:rPr>
        <w:t xml:space="preserve">9.</w:t>
      </w:r>
      <w:r>
        <w:rPr>
          <w:b/>
          <w:bCs/>
        </w:rPr>
        <w:t xml:space="preserve">	Drag-along</w:t>
      </w:r>
    </w:p>
    <w:p>
      <w:pPr>
        <w:tabs>
          <w:tab w:val="1" w:pos="620"/>
        </w:tabs>
        <w:spacing w:after="100" w:line="264"/>
        <w:ind w:left="620" w:hanging="620"/>
      </w:pPr>
      <w:r>
        <w:t xml:space="preserve">9.1	</w:t>
      </w:r>
      <w:r>
        <w:t xml:space="preserve">If holders of more than 50% of the Ordinary Shares (on an as-converted basis) together with an Investor Majority accept a bona fide arm’s-length offer for the entire issued share capital (the “Proposed Buyer”), they may require all other members to transfer their shares to the Proposed Buyer on the same terms (the consideration being allocated in accordance with the Liquidation Preference).</w:t>
      </w:r>
    </w:p>
    <w:p>
      <w:pPr>
        <w:tabs>
          <w:tab w:val="1" w:pos="620"/>
        </w:tabs>
        <w:spacing w:after="80" w:before="200" w:line="264"/>
      </w:pPr>
      <w:r>
        <w:rPr>
          <w:b/>
          <w:bCs/>
        </w:rPr>
        <w:t xml:space="preserve">10.</w:t>
      </w:r>
      <w:r>
        <w:rPr>
          <w:b/>
          <w:bCs/>
        </w:rPr>
        <w:t xml:space="preserve">	Tag-along</w:t>
      </w:r>
    </w:p>
    <w:p>
      <w:pPr>
        <w:tabs>
          <w:tab w:val="1" w:pos="620"/>
        </w:tabs>
        <w:spacing w:after="100" w:line="264"/>
        <w:ind w:left="620" w:hanging="620"/>
      </w:pPr>
      <w:r>
        <w:t xml:space="preserve">10.1	</w:t>
      </w:r>
      <w:r>
        <w:t xml:space="preserve">No transfer that would result in a person (with connected persons) holding more than 50% of the Ordinary Shares may be made unless the Proposed Buyer offers to buy the shares of every other member on the same terms, allocated in accordance with the Liquidation Preference.</w:t>
      </w:r>
    </w:p>
    <w:p>
      <w:pPr>
        <w:tabs>
          <w:tab w:val="1" w:pos="620"/>
        </w:tabs>
        <w:spacing w:after="80" w:before="200" w:line="264"/>
      </w:pPr>
      <w:r>
        <w:rPr>
          <w:b/>
          <w:bCs/>
        </w:rPr>
        <w:t xml:space="preserve">11.</w:t>
      </w:r>
      <w:r>
        <w:rPr>
          <w:b/>
          <w:bCs/>
        </w:rPr>
        <w:t xml:space="preserve">	Founder vesting and leaver provisions</w:t>
      </w:r>
    </w:p>
    <w:p>
      <w:pPr>
        <w:tabs>
          <w:tab w:val="1" w:pos="620"/>
        </w:tabs>
        <w:spacing w:after="100" w:line="264"/>
        <w:ind w:left="620" w:hanging="620"/>
      </w:pPr>
      <w:r>
        <w:t xml:space="preserve">11.1	</w:t>
      </w:r>
      <w:r>
        <w:t xml:space="preserve">The Founder Shares vest over four years from each Founder’s start date with a one-year cliff and monthly vesting thereafter. If a Founder becomes a Leaver, the Company (or its nominee) may acquire that Founder’s Unvested Shares at the lower of cost and Fair Value (Bad Leaver) or at Fair Value (Good Leaver), in accordance with the procedure in this Article.</w:t>
      </w:r>
    </w:p>
    <w:p>
      <w:pPr>
        <w:tabs>
          <w:tab w:val="1" w:pos="620"/>
        </w:tabs>
        <w:spacing w:after="80" w:before="200" w:line="264"/>
      </w:pPr>
      <w:r>
        <w:rPr>
          <w:b/>
          <w:bCs/>
        </w:rPr>
        <w:t xml:space="preserve">12.</w:t>
      </w:r>
      <w:r>
        <w:rPr>
          <w:b/>
          <w:bCs/>
        </w:rPr>
        <w:t xml:space="preserve">	Investor consent matters</w:t>
      </w:r>
    </w:p>
    <w:p>
      <w:pPr>
        <w:tabs>
          <w:tab w:val="1" w:pos="620"/>
        </w:tabs>
        <w:spacing w:after="100" w:line="264"/>
        <w:ind w:left="620" w:hanging="620"/>
      </w:pPr>
      <w:r>
        <w:t xml:space="preserve">12.1	</w:t>
      </w:r>
      <w:r>
        <w:t xml:space="preserve">Notwithstanding any other provision, the Company shall not undertake any of the matters set out in the Subscription Agreement (or, if there is no subscription agreement in force, the matters customary for investor consent) without the prior written consent of an Investor Majority.</w:t>
      </w:r>
    </w:p>
    <w:p>
      <w:pPr>
        <w:tabs>
          <w:tab w:val="1" w:pos="620"/>
        </w:tabs>
        <w:spacing w:after="80" w:before="200" w:line="264"/>
      </w:pPr>
      <w:r>
        <w:rPr>
          <w:b/>
          <w:bCs/>
        </w:rPr>
        <w:t xml:space="preserve">13.</w:t>
      </w:r>
      <w:r>
        <w:rPr>
          <w:b/>
          <w:bCs/>
        </w:rPr>
        <w:t xml:space="preserve">	Investor Director and proceedings of directors</w:t>
      </w:r>
    </w:p>
    <w:p>
      <w:pPr>
        <w:tabs>
          <w:tab w:val="1" w:pos="620"/>
        </w:tabs>
        <w:spacing w:after="100" w:line="264"/>
        <w:ind w:left="620" w:hanging="620"/>
      </w:pPr>
      <w:r>
        <w:t xml:space="preserve">13.1	</w:t>
      </w:r>
      <w:r>
        <w:t xml:space="preserve">The Lead Investor may appoint and remove one Investor Director by notice to the Company. The quorum for a board meeting is two directors including the Investor Director (subject to the waiver provisions in the Subscription Agreement).</w:t>
      </w:r>
    </w:p>
    <w:p>
      <w:pPr>
        <w:tabs>
          <w:tab w:val="1" w:pos="620"/>
        </w:tabs>
        <w:spacing w:after="80" w:before="200" w:line="264"/>
      </w:pPr>
      <w:r>
        <w:rPr>
          <w:b/>
          <w:bCs/>
        </w:rPr>
        <w:t xml:space="preserve">14.</w:t>
      </w:r>
      <w:r>
        <w:rPr>
          <w:b/>
          <w:bCs/>
        </w:rPr>
        <w:t xml:space="preserve">	Class rights and variation</w:t>
      </w:r>
    </w:p>
    <w:p>
      <w:pPr>
        <w:tabs>
          <w:tab w:val="1" w:pos="620"/>
        </w:tabs>
        <w:spacing w:after="100" w:line="264"/>
        <w:ind w:left="620" w:hanging="620"/>
      </w:pPr>
      <w:r>
        <w:t xml:space="preserve">14.1	</w:t>
      </w:r>
      <w:r>
        <w:t xml:space="preserve">The rights attaching to the Series A Shares may only be varied or abrogated with the written consent of an Investor Majority, and any such variation is deemed not to be a variation of the rights of the Ordinary Shares.</w:t>
      </w:r>
    </w:p>
    <w:p>
      <w:pPr>
        <w:tabs>
          <w:tab w:val="1" w:pos="620"/>
        </w:tabs>
        <w:spacing w:after="80" w:before="200" w:line="264"/>
      </w:pPr>
      <w:r>
        <w:rPr>
          <w:b/>
          <w:bCs/>
        </w:rPr>
        <w:t xml:space="preserve">15.</w:t>
      </w:r>
      <w:r>
        <w:rPr>
          <w:b/>
          <w:bCs/>
        </w:rPr>
        <w:t xml:space="preserve">	General meetings, notices and indemnity</w:t>
      </w:r>
    </w:p>
    <w:p>
      <w:pPr>
        <w:tabs>
          <w:tab w:val="1" w:pos="620"/>
        </w:tabs>
        <w:spacing w:after="100" w:line="264"/>
        <w:ind w:left="620" w:hanging="620"/>
      </w:pPr>
      <w:r>
        <w:t xml:space="preserve">15.1	</w:t>
      </w:r>
      <w:r>
        <w:t xml:space="preserve">Subject to these Articles, general meetings, the appointment and removal of directors, the keeping of accounts, the service of notices and the indemnification of directors are governed by the Companies Act 2006 and the relevant model-article provisions to the extent incorporated.</w:t>
      </w:r>
    </w:p>
    <w:p>
      <w:pPr>
        <w:spacing w:after="100" w:before="300" w:line="264"/>
      </w:pPr>
      <w:r>
        <w:rPr>
          <w:b/>
          <w:bCs/>
          <w:sz w:val="22"/>
          <w:szCs w:val="22"/>
        </w:rPr>
        <w:t xml:space="preserve">Schedule — Capital table on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In issue</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Reserved (options)</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Ordinary Shares</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2,760,000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Series A Shares</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Option pool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3,760,000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16"/>
        <w:szCs w:val="16"/>
      </w:rPr>
      <w:t xml:space="preserve"/>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2026-06-25T21:55:42.424Z</dcterms:created>
  <dcterms:modified xsi:type="dcterms:W3CDTF">2026-06-25T21:55:42.424Z</dcterms:modified>
</cp:coreProperties>
</file>

<file path=docProps/custom.xml><?xml version="1.0" encoding="utf-8"?>
<Properties xmlns="http://schemas.openxmlformats.org/officeDocument/2006/custom-properties" xmlns:vt="http://schemas.openxmlformats.org/officeDocument/2006/docPropsVTypes"/>
</file>