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4"/>
      </w:pPr>
      <w:r>
        <w:rPr>
          <w:b/>
          <w:bCs/>
          <w:color w:val="B00020"/>
          <w:sz w:val="18"/>
          <w:szCs w:val="18"/>
        </w:rPr>
        <w:t xml:space="preserve">STRICTLY PRIVATE &amp; CONFIDENTIAL</w:t>
      </w:r>
    </w:p>
    <w:p>
      <w:pPr>
        <w:spacing w:after="120" w:line="264"/>
      </w:pPr>
      <w:r>
        <w:t xml:space="preserve">14 November 2025</w:t>
      </w:r>
    </w:p>
    <w:p>
      <w:pPr>
        <w:spacing w:after="120" w:line="264"/>
      </w:pPr>
      <w:r>
        <w:t xml:space="preserve">To:  Calderbrook Growth Partners LLP and Aldridge Seed LP (together, the “Investors”)</w:t>
      </w:r>
    </w:p>
    <w:p>
      <w:pPr>
        <w:spacing w:after="200" w:line="264"/>
      </w:pPr>
      <w:r>
        <w:t xml:space="preserve">From:  Penrose Robotics Limited and the Founders (together, the “Warrantors”)</w:t>
      </w:r>
    </w:p>
    <w:p>
      <w:pPr>
        <w:spacing w:after="120" w:line="264"/>
      </w:pPr>
      <w:r>
        <w:rPr>
          <w:b/>
          <w:bCs/>
        </w:rPr>
        <w:t xml:space="preserve">Dear Sirs</w:t>
      </w:r>
    </w:p>
    <w:p>
      <w:pPr>
        <w:spacing w:after="160" w:line="264"/>
      </w:pPr>
      <w:r>
        <w:rPr>
          <w:b/>
          <w:bCs/>
        </w:rPr>
        <w:t xml:space="preserve">Disclosure Letter — Series A Subscription and Shareholders’ Agreement (Project Drake)</w:t>
      </w:r>
    </w:p>
    <w:p>
      <w:pPr>
        <w:spacing w:after="120" w:line="264"/>
      </w:pPr>
      <w:r>
        <w:t xml:space="preserve">This is the Disclosure Letter referred to in the Subscription and Shareholders’ Agreement of today’s date relating to the Series A financing of Penrose Robotics Limited (the “Agreement”). Words and expressions defined in the Agreement have the same meaning in this letter. This letter is delivered subject to the limitations on liability set out in clause 10 of the Agreement.</w:t>
      </w:r>
    </w:p>
    <w:p>
      <w:pPr>
        <w:spacing w:after="80" w:before="160" w:line="264"/>
      </w:pPr>
      <w:r>
        <w:rPr>
          <w:b/>
          <w:bCs/>
        </w:rPr>
        <w:t xml:space="preserve">1.  General disclosures</w:t>
      </w:r>
    </w:p>
    <w:p>
      <w:pPr>
        <w:spacing w:after="120" w:line="264"/>
      </w:pPr>
      <w:r>
        <w:t xml:space="preserve">The Warranties are given subject to the following matters, which are disclosed to the Investors and qualify the Warranties generally:</w:t>
      </w:r>
    </w:p>
    <w:p>
      <w:pPr>
        <w:pStyle w:val="ListParagraph"/>
        <w:numPr>
          <w:ilvl w:val="0"/>
          <w:numId w:val="2"/>
        </w:numPr>
        <w:spacing w:after="60" w:line="264"/>
      </w:pPr>
      <w:r>
        <w:t xml:space="preserve">all matters apparent from the searches at Companies House and the UK Intellectual Property Office made on or before the date of this letter;</w:t>
      </w:r>
    </w:p>
    <w:p>
      <w:pPr>
        <w:pStyle w:val="ListParagraph"/>
        <w:numPr>
          <w:ilvl w:val="0"/>
          <w:numId w:val="2"/>
        </w:numPr>
        <w:spacing w:after="60" w:line="264"/>
      </w:pPr>
      <w:r>
        <w:t xml:space="preserve">all matters provided in the data room hosted at the URL notified to the Investors’ solicitors, an index of which is attached as the Appendix;</w:t>
      </w:r>
    </w:p>
    <w:p>
      <w:pPr>
        <w:pStyle w:val="ListParagraph"/>
        <w:numPr>
          <w:ilvl w:val="0"/>
          <w:numId w:val="2"/>
        </w:numPr>
        <w:spacing w:after="60" w:line="264"/>
      </w:pPr>
      <w:r>
        <w:t xml:space="preserve">all matters which would be revealed by a prudent purchaser making the usual pre-acquisition enquiries; and</w:t>
      </w:r>
    </w:p>
    <w:p>
      <w:pPr>
        <w:pStyle w:val="ListParagraph"/>
        <w:numPr>
          <w:ilvl w:val="0"/>
          <w:numId w:val="2"/>
        </w:numPr>
        <w:spacing w:after="60" w:line="264"/>
      </w:pPr>
      <w:r>
        <w:t xml:space="preserve">the contents of the Accounts, the Management Accounts and the business plan provided to the Investors.</w:t>
      </w:r>
    </w:p>
    <w:p>
      <w:pPr>
        <w:spacing w:after="80" w:before="200" w:line="264"/>
      </w:pPr>
      <w:r>
        <w:rPr>
          <w:b/>
          <w:bCs/>
        </w:rPr>
        <w:t xml:space="preserve">2.  Specific disclosures</w:t>
      </w:r>
    </w:p>
    <w:p>
      <w:pPr>
        <w:spacing w:after="120" w:line="264"/>
      </w:pPr>
      <w:r>
        <w:t xml:space="preserve">The following specific matters are disclosed against the numbered Warranties in Schedule 4 of the Agreement:</w:t>
      </w:r>
    </w:p>
    <w:p>
      <w:pPr>
        <w:tabs>
          <w:tab w:val="1" w:pos="760"/>
        </w:tabs>
        <w:spacing w:after="110" w:line="264"/>
        <w:ind w:left="760" w:hanging="760"/>
      </w:pPr>
      <w:r>
        <w:rPr>
          <w:b/>
          <w:bCs/>
        </w:rPr>
        <w:t xml:space="preserve">4.2.4	</w:t>
      </w:r>
      <w:r>
        <w:t xml:space="preserve">Intellectual property: the core fleet-orchestration software incorporates three open-source components (each under a permissive MIT or Apache 2.0 licence), particulars of which are in the data room at folder 06.2. A trade-mark application for the “PENROSE ORCHESTRATE” word mark (UK application no. UK00003912447) is pending and has not yet proceeded to registration.</w:t>
      </w:r>
    </w:p>
    <w:p>
      <w:pPr>
        <w:tabs>
          <w:tab w:val="1" w:pos="760"/>
        </w:tabs>
        <w:spacing w:after="110" w:line="264"/>
        <w:ind w:left="760" w:hanging="760"/>
      </w:pPr>
      <w:r>
        <w:rPr>
          <w:b/>
          <w:bCs/>
        </w:rPr>
        <w:t xml:space="preserve">4.2.4	</w:t>
      </w:r>
      <w:r>
        <w:t xml:space="preserve">Two consultancy agreements (with former contractors engaged in 2023) did not contain express IP-assignment wording; confirmatory deeds of assignment have since been obtained from one contractor and are being pursued from the other (data room 06.4).</w:t>
      </w:r>
    </w:p>
    <w:p>
      <w:pPr>
        <w:tabs>
          <w:tab w:val="1" w:pos="760"/>
        </w:tabs>
        <w:spacing w:after="110" w:line="264"/>
        <w:ind w:left="760" w:hanging="760"/>
      </w:pPr>
      <w:r>
        <w:rPr>
          <w:b/>
          <w:bCs/>
        </w:rPr>
        <w:t xml:space="preserve">4.2.5	</w:t>
      </w:r>
      <w:r>
        <w:t xml:space="preserve">Data protection: the Company’s record of processing activities (ROPA) is in the course of being updated to reflect a new customer-analytics feature released in August 2025. A data-processing addendum with one pilot customer remains in negotiation.</w:t>
      </w:r>
    </w:p>
    <w:p>
      <w:pPr>
        <w:tabs>
          <w:tab w:val="1" w:pos="760"/>
        </w:tabs>
        <w:spacing w:after="110" w:line="264"/>
        <w:ind w:left="760" w:hanging="760"/>
      </w:pPr>
      <w:r>
        <w:rPr>
          <w:b/>
          <w:bCs/>
        </w:rPr>
        <w:t xml:space="preserve">4.2.6	</w:t>
      </w:r>
      <w:r>
        <w:t xml:space="preserve">Contracts: the master supply agreement with a component supplier dated 4 March 2024 contains a change-of-control notification provision; the supplier has been notified of the proposed investment and has raised no objection (data room 05.3).</w:t>
      </w:r>
    </w:p>
    <w:p>
      <w:pPr>
        <w:tabs>
          <w:tab w:val="1" w:pos="760"/>
        </w:tabs>
        <w:spacing w:after="110" w:line="264"/>
        <w:ind w:left="760" w:hanging="760"/>
      </w:pPr>
      <w:r>
        <w:rPr>
          <w:b/>
          <w:bCs/>
        </w:rPr>
        <w:t xml:space="preserve">4.2.7	</w:t>
      </w:r>
      <w:r>
        <w:t xml:space="preserve">Employees: one employee is currently on a performance-improvement plan; full particulars are in the data room at folder 07.1. The Enlarged Option Pool referred to in the Agreement has not yet been granted and option grants remain at the discretion of the Board.</w:t>
      </w:r>
    </w:p>
    <w:p>
      <w:pPr>
        <w:tabs>
          <w:tab w:val="1" w:pos="760"/>
        </w:tabs>
        <w:spacing w:after="110" w:line="264"/>
        <w:ind w:left="760" w:hanging="760"/>
      </w:pPr>
      <w:r>
        <w:rPr>
          <w:b/>
          <w:bCs/>
        </w:rPr>
        <w:t xml:space="preserve">4.2.8	</w:t>
      </w:r>
      <w:r>
        <w:t xml:space="preserve">Litigation: a former pilot customer raised a commercial complaint in May 2025 regarding deployment timelines; the matter was resolved by a service credit of £18,000 and no claim is outstanding (data room 09.1).</w:t>
      </w:r>
    </w:p>
    <w:p>
      <w:pPr>
        <w:tabs>
          <w:tab w:val="1" w:pos="760"/>
        </w:tabs>
        <w:spacing w:after="110" w:line="264"/>
        <w:ind w:left="760" w:hanging="760"/>
      </w:pPr>
      <w:r>
        <w:rPr>
          <w:b/>
          <w:bCs/>
        </w:rPr>
        <w:t xml:space="preserve">4.3.3	</w:t>
      </w:r>
      <w:r>
        <w:t xml:space="preserve">Tax / EIS: the Company has obtained EIS advance assurance from HMRC dated 21 August 2025 in respect of the proposed Series A subscription (data room 08.2).</w:t>
      </w:r>
    </w:p>
    <w:p>
      <w:pPr>
        <w:spacing w:after="100" w:before="260" w:line="264"/>
      </w:pPr>
      <w:r>
        <w:rPr>
          <w:b/>
          <w:bCs/>
          <w:sz w:val="22"/>
          <w:szCs w:val="22"/>
        </w:rPr>
        <w:t xml:space="preserve">Appendix — Data room index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Folder</w:t>
            </w:r>
          </w:p>
        </w:tc>
        <w:tc>
          <w:tcPr>
            <w:tcW w:type="dxa" w:w="74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Contents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01 Corporate</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Certificate of incorporation, current and proposed Articles, statutory registers, board and shareholder resolutions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02 Cap table</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Current and pro-forma cap tables, option records, EIS records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03 Financials</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Statutory accounts (FY2023, FY2024), management accounts to Sep 2025, budget and model</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04 Commercial</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Customer contracts, pipeline, pilot agreements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05 Suppliers</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Supplier and manufacturing agreements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06 IP &amp; technology</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Patent/trade-mark filings, software architecture, open-source register, IP assignments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07 Employees</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Contracts, option terms, policies, consultancy agreements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08 Tax</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Corporation tax returns, EIS advance assurance, R&amp;D tax claims</w:t>
            </w:r>
          </w:p>
        </w:tc>
      </w:tr>
      <w:tr>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09 Disputes &amp; compliance</w:t>
            </w:r>
          </w:p>
        </w:tc>
        <w:tc>
          <w:tcPr>
            <w:tcW w:type="dxa" w:w="74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Correspondence, GDPR documentation, insurance</w:t>
            </w:r>
          </w:p>
        </w:tc>
      </w:tr>
    </w:tbl>
    <w:p>
      <w:pPr>
        <w:spacing w:after="200" w:before="280" w:line="264"/>
      </w:pPr>
      <w:r>
        <w:rPr>
          <w:b/>
          <w:bCs/>
        </w:rPr>
        <w:t xml:space="preserve">Yours faithfully</w:t>
      </w:r>
    </w:p>
    <w:p>
      <w:pPr>
        <w:spacing w:after="40" w:line="264"/>
      </w:pPr>
      <w:r>
        <w:t xml:space="preserve">……………………………………………………</w:t>
      </w:r>
    </w:p>
    <w:p>
      <w:pPr>
        <w:spacing w:after="120" w:line="264"/>
      </w:pPr>
      <w:r>
        <w:t xml:space="preserve">For and on behalf of PENROSE ROBOTICS LIMITED and the Founders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after="0" w:before="40"/>
    </w:pPr>
    <w:r>
      <w:rPr>
        <w:color w:val="777777"/>
        <w:sz w:val="13"/>
        <w:szCs w:val="13"/>
      </w:rPr>
      <w:t xml:space="preserve">Whitfield Carter LLP is a limited liability partnership registered in England and Wales (OC— ). Authorised and regulated by the Solicitors Regulation Authority.</w:t>
    </w:r>
  </w:p>
  <w:p>
    <w:pPr>
      <w:spacing w:after="0"/>
      <w:jc w:val="right"/>
    </w:pP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30"/>
        <w:szCs w:val="30"/>
      </w:rPr>
      <w:t xml:space="preserve">Whitfield Carter LLP</w:t>
    </w:r>
  </w:p>
  <w:p>
    <w:pPr>
      <w:pBdr>
        <w:bottom w:val="single" w:color="1F3864" w:sz="6" w:space="1"/>
      </w:pBdr>
      <w:spacing w:after="40"/>
    </w:pPr>
    <w:r>
      <w:rPr>
        <w:color w:val="555555"/>
        <w:sz w:val="16"/>
        <w:szCs w:val="16"/>
      </w:rPr>
      <w:t xml:space="preserve">22 Bishopsgate, London EC2N 4BQ  ·  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2026-06-25T21:55:42.555Z</dcterms:created>
  <dcterms:modified xsi:type="dcterms:W3CDTF">2026-06-25T21:55:42.555Z</dcterms:modified>
</cp:coreProperties>
</file>

<file path=docProps/custom.xml><?xml version="1.0" encoding="utf-8"?>
<Properties xmlns="http://schemas.openxmlformats.org/officeDocument/2006/custom-properties" xmlns:vt="http://schemas.openxmlformats.org/officeDocument/2006/docPropsVTypes"/>
</file>