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264"/>
        <w:jc w:val="center"/>
      </w:pPr>
      <w:r>
        <w:rPr>
          <w:b/>
          <w:bCs/>
        </w:rPr>
        <w:t xml:space="preserve">DATED 14 NOVEMBER 2025</w:t>
      </w:r>
    </w:p>
    <w:p>
      <w:pPr>
        <w:spacing w:after="120" w:line="264"/>
        <w:jc w:val="center"/>
      </w:pPr>
      <w:r>
        <w:rPr>
          <w:b/>
          <w:bCs/>
          <w:sz w:val="30"/>
          <w:szCs w:val="30"/>
        </w:rPr>
        <w:t xml:space="preserve">INVESTOR RIGHTS AGREEMENT</w:t>
      </w:r>
    </w:p>
    <w:p>
      <w:pPr>
        <w:spacing w:after="400" w:line="264"/>
        <w:jc w:val="center"/>
      </w:pPr>
      <w:r>
        <w:rPr>
          <w:i/>
          <w:iCs/>
          <w:sz w:val="22"/>
          <w:szCs w:val="22"/>
        </w:rPr>
        <w:t xml:space="preserve">relating to Penrose Robotics Limited (Project Drake)</w:t>
      </w:r>
    </w:p>
    <w:p>
      <w:pPr>
        <w:spacing w:after="360" w:line="264"/>
        <w:jc w:val="center"/>
      </w:pPr>
      <w:r>
        <w:rPr>
          <w:b/>
          <w:bCs/>
        </w:rPr>
        <w:t xml:space="preserve">(1) PENROSE ROBOTICS LIMITED   (2) THE FOUNDERS   (3) THE INVESTORS</w:t>
      </w:r>
    </w:p>
    <w:p>
      <w:pPr>
        <w:pageBreakBefore/>
        <w:spacing w:after="120" w:line="264"/>
      </w:pPr>
      <w:r>
        <w:t xml:space="preserve">This Investor Rights Agreement supplements the Subscription and Shareholders’ Agreement of the same date (the “Subscription Agreement”) and sets out certain additional rights of the Investors. Defined terms have the meanings given in the Subscription Agreement unless otherwise defined here.</w:t>
      </w:r>
    </w:p>
    <w:p>
      <w:pPr>
        <w:tabs>
          <w:tab w:val="1" w:pos="620"/>
        </w:tabs>
        <w:spacing w:after="80" w:before="220" w:line="264"/>
      </w:pPr>
      <w:r>
        <w:rPr>
          <w:b/>
          <w:bCs/>
        </w:rPr>
        <w:t xml:space="preserve">1.</w:t>
      </w:r>
      <w:r>
        <w:rPr>
          <w:b/>
          <w:bCs/>
        </w:rPr>
        <w:t xml:space="preserve">	INFORMATION RIGHTS</w:t>
      </w:r>
    </w:p>
    <w:p>
      <w:pPr>
        <w:tabs>
          <w:tab w:val="1" w:pos="620"/>
        </w:tabs>
        <w:spacing w:after="100" w:line="264"/>
        <w:ind w:left="620" w:hanging="620"/>
      </w:pPr>
      <w:r>
        <w:t xml:space="preserve">1.1	</w:t>
      </w:r>
      <w:r>
        <w:t xml:space="preserve">The Company shall deliver to each Investor holding not less than 2% of the fully diluted share capital (a “Qualifying Investor”): (a) monthly management accounts within 20 Business Days of each month end; (b) audited annual accounts within four months of each financial year end; (c) an annual budget and business plan not less than 30 days before the start of each financial year; and (d) such other information relating to the business and financial condition of the Company as a Qualifying Investor may reasonably request.</w:t>
      </w:r>
    </w:p>
    <w:p>
      <w:pPr>
        <w:tabs>
          <w:tab w:val="1" w:pos="620"/>
        </w:tabs>
        <w:spacing w:after="100" w:line="264"/>
        <w:ind w:left="620" w:hanging="620"/>
      </w:pPr>
      <w:r>
        <w:t xml:space="preserve">1.2	</w:t>
      </w:r>
      <w:r>
        <w:t xml:space="preserve">The Company shall permit the Investor Director and any Qualifying Investor’s authorised representatives, on reasonable notice and during normal business hours, to inspect the books and records of the Company and to discuss its affairs with management.</w:t>
      </w:r>
    </w:p>
    <w:p>
      <w:pPr>
        <w:tabs>
          <w:tab w:val="1" w:pos="620"/>
        </w:tabs>
        <w:spacing w:after="80" w:before="220" w:line="264"/>
      </w:pPr>
      <w:r>
        <w:rPr>
          <w:b/>
          <w:bCs/>
        </w:rPr>
        <w:t xml:space="preserve">2.</w:t>
      </w:r>
      <w:r>
        <w:rPr>
          <w:b/>
          <w:bCs/>
        </w:rPr>
        <w:t xml:space="preserve">	BOARD REPRESENTATION AND OBSERVER</w:t>
      </w:r>
    </w:p>
    <w:p>
      <w:pPr>
        <w:tabs>
          <w:tab w:val="1" w:pos="620"/>
        </w:tabs>
        <w:spacing w:after="100" w:line="264"/>
        <w:ind w:left="620" w:hanging="620"/>
      </w:pPr>
      <w:r>
        <w:t xml:space="preserve">2.1	</w:t>
      </w:r>
      <w:r>
        <w:t xml:space="preserve">For so long as the Lead Investor (together with its Affiliates) holds not less than 10% of the fully diluted share capital, it is entitled to appoint and remove one Investor Director and one non-voting Observer by written notice to the Company.</w:t>
      </w:r>
    </w:p>
    <w:p>
      <w:pPr>
        <w:tabs>
          <w:tab w:val="1" w:pos="620"/>
        </w:tabs>
        <w:spacing w:after="100" w:line="264"/>
        <w:ind w:left="620" w:hanging="620"/>
      </w:pPr>
      <w:r>
        <w:t xml:space="preserve">2.2	</w:t>
      </w:r>
      <w:r>
        <w:t xml:space="preserve">The Observer is entitled to receive notice of, attend and speak at (but not vote at) all meetings of the Board and to receive all board papers at the same time as the directors, save that the Company may exclude the Observer from any matter to preserve legal privilege or to avoid an actual conflict of interest.</w:t>
      </w:r>
    </w:p>
    <w:p>
      <w:pPr>
        <w:tabs>
          <w:tab w:val="1" w:pos="620"/>
        </w:tabs>
        <w:spacing w:after="100" w:line="264"/>
        <w:ind w:left="620" w:hanging="620"/>
      </w:pPr>
      <w:r>
        <w:t xml:space="preserve">2.3	</w:t>
      </w:r>
      <w:r>
        <w:t xml:space="preserve">The Company shall maintain directors’ and officers’ liability insurance on terms approved by the Board with a limit of indemnity of not less than £5,000,000.</w:t>
      </w:r>
    </w:p>
    <w:p>
      <w:pPr>
        <w:tabs>
          <w:tab w:val="1" w:pos="620"/>
        </w:tabs>
        <w:spacing w:after="80" w:before="220" w:line="264"/>
      </w:pPr>
      <w:r>
        <w:rPr>
          <w:b/>
          <w:bCs/>
        </w:rPr>
        <w:t xml:space="preserve">3.</w:t>
      </w:r>
      <w:r>
        <w:rPr>
          <w:b/>
          <w:bCs/>
        </w:rPr>
        <w:t xml:space="preserve">	ANTI-DILUTION AND PRE-EMPTION (CONTRACTUAL)</w:t>
      </w:r>
    </w:p>
    <w:p>
      <w:pPr>
        <w:tabs>
          <w:tab w:val="1" w:pos="620"/>
        </w:tabs>
        <w:spacing w:after="100" w:line="264"/>
        <w:ind w:left="620" w:hanging="620"/>
      </w:pPr>
      <w:r>
        <w:t xml:space="preserve">3.1	</w:t>
      </w:r>
      <w:r>
        <w:t xml:space="preserve">The contractual pre-emption rights on new issues set out in the Articles are supplemented by this clause so that each Qualifying Investor has a right (but not an obligation) to subscribe its pro rata share of any new equity securities, exercisable within 15 Business Days of the offer notice.</w:t>
      </w:r>
    </w:p>
    <w:p>
      <w:pPr>
        <w:tabs>
          <w:tab w:val="1" w:pos="620"/>
        </w:tabs>
        <w:spacing w:after="100" w:line="264"/>
        <w:ind w:left="620" w:hanging="620"/>
      </w:pPr>
      <w:r>
        <w:t xml:space="preserve">3.2	</w:t>
      </w:r>
      <w:r>
        <w:t xml:space="preserve">On a Down Round, the conversion price applicable to the Series A Shares shall be adjusted on a broad-based weighted-average basis in accordance with the formula set out in the Articles.</w:t>
      </w:r>
    </w:p>
    <w:p>
      <w:pPr>
        <w:tabs>
          <w:tab w:val="1" w:pos="620"/>
        </w:tabs>
        <w:spacing w:after="80" w:before="220" w:line="264"/>
      </w:pPr>
      <w:r>
        <w:rPr>
          <w:b/>
          <w:bCs/>
        </w:rPr>
        <w:t xml:space="preserve">4.</w:t>
      </w:r>
      <w:r>
        <w:rPr>
          <w:b/>
          <w:bCs/>
        </w:rPr>
        <w:t xml:space="preserve">	REGISTRATION / EXIT CO-OPERATION</w:t>
      </w:r>
    </w:p>
    <w:p>
      <w:pPr>
        <w:tabs>
          <w:tab w:val="1" w:pos="620"/>
        </w:tabs>
        <w:spacing w:after="100" w:line="264"/>
        <w:ind w:left="620" w:hanging="620"/>
      </w:pPr>
      <w:r>
        <w:t xml:space="preserve">4.1	</w:t>
      </w:r>
      <w:r>
        <w:t xml:space="preserve">On a proposed Listing or Sale, the Founders and the Company shall co-operate with the Investors and take such steps as are reasonably required to facilitate the Listing or Sale, including the giving of customary warranties (subject to customary limitations) and the entry into customary lock-up arrangements.</w:t>
      </w:r>
    </w:p>
    <w:p>
      <w:pPr>
        <w:tabs>
          <w:tab w:val="1" w:pos="620"/>
        </w:tabs>
        <w:spacing w:after="100" w:line="264"/>
        <w:ind w:left="620" w:hanging="620"/>
      </w:pPr>
      <w:r>
        <w:t xml:space="preserve">4.2	</w:t>
      </w:r>
      <w:r>
        <w:t xml:space="preserve">If the Board and an Investor Majority approve a Sale, the drag-along and tag-along provisions in the Articles shall apply.</w:t>
      </w:r>
    </w:p>
    <w:p>
      <w:pPr>
        <w:tabs>
          <w:tab w:val="1" w:pos="620"/>
        </w:tabs>
        <w:spacing w:after="80" w:before="220" w:line="264"/>
      </w:pPr>
      <w:r>
        <w:rPr>
          <w:b/>
          <w:bCs/>
        </w:rPr>
        <w:t xml:space="preserve">5.</w:t>
      </w:r>
      <w:r>
        <w:rPr>
          <w:b/>
          <w:bCs/>
        </w:rPr>
        <w:t xml:space="preserve">	EIS / VCT PROTECTION</w:t>
      </w:r>
    </w:p>
    <w:p>
      <w:pPr>
        <w:tabs>
          <w:tab w:val="1" w:pos="620"/>
        </w:tabs>
        <w:spacing w:after="100" w:line="264"/>
        <w:ind w:left="620" w:hanging="620"/>
      </w:pPr>
      <w:r>
        <w:t xml:space="preserve">5.1	</w:t>
      </w:r>
      <w:r>
        <w:t xml:space="preserve">The Company shall use reasonable endeavours to maintain its qualifying status for EIS and VCT purposes for a period of three years from the date of each relevant subscription, and shall not knowingly take any step that would cause any relief available to an Investor (or its underlying investors) to be withdrawn or reduced.</w:t>
      </w:r>
    </w:p>
    <w:p>
      <w:pPr>
        <w:tabs>
          <w:tab w:val="1" w:pos="620"/>
        </w:tabs>
        <w:spacing w:after="100" w:line="264"/>
        <w:ind w:left="620" w:hanging="620"/>
      </w:pPr>
      <w:r>
        <w:t xml:space="preserve">5.2	</w:t>
      </w:r>
      <w:r>
        <w:t xml:space="preserve">The Company shall provide each relevant Investor with such information and certificates (including EIS1/EIS3 compliance statements) as it may reasonably require to claim and retain the relevant reliefs.</w:t>
      </w:r>
    </w:p>
    <w:p>
      <w:pPr>
        <w:tabs>
          <w:tab w:val="1" w:pos="620"/>
        </w:tabs>
        <w:spacing w:after="80" w:before="220" w:line="264"/>
      </w:pPr>
      <w:r>
        <w:rPr>
          <w:b/>
          <w:bCs/>
        </w:rPr>
        <w:t xml:space="preserve">6.</w:t>
      </w:r>
      <w:r>
        <w:rPr>
          <w:b/>
          <w:bCs/>
        </w:rPr>
        <w:t xml:space="preserve">	FOUNDER COMMITMENT AND VESTING</w:t>
      </w:r>
    </w:p>
    <w:p>
      <w:pPr>
        <w:tabs>
          <w:tab w:val="1" w:pos="620"/>
        </w:tabs>
        <w:spacing w:after="100" w:line="264"/>
        <w:ind w:left="620" w:hanging="620"/>
      </w:pPr>
      <w:r>
        <w:t xml:space="preserve">6.1	</w:t>
      </w:r>
      <w:r>
        <w:t xml:space="preserve">Each Founder shall devote substantially the whole of his or her working time to the business of the Company and shall not, without Investor Majority consent, engage in any other business that competes with or detracts from the business of the Company.</w:t>
      </w:r>
    </w:p>
    <w:p>
      <w:pPr>
        <w:tabs>
          <w:tab w:val="1" w:pos="620"/>
        </w:tabs>
        <w:spacing w:after="100" w:line="264"/>
        <w:ind w:left="620" w:hanging="620"/>
      </w:pPr>
      <w:r>
        <w:t xml:space="preserve">6.2	</w:t>
      </w:r>
      <w:r>
        <w:t xml:space="preserve">The Founder Shares are subject to the reverse-vesting and leaver provisions set out in the Articles, measured from each Founder’s start date, with a one-year cliff and monthly vesting thereafter over a total period of four years.</w:t>
      </w:r>
    </w:p>
    <w:p>
      <w:pPr>
        <w:tabs>
          <w:tab w:val="1" w:pos="620"/>
        </w:tabs>
        <w:spacing w:after="80" w:before="220" w:line="264"/>
      </w:pPr>
      <w:r>
        <w:rPr>
          <w:b/>
          <w:bCs/>
        </w:rPr>
        <w:t xml:space="preserve">7.</w:t>
      </w:r>
      <w:r>
        <w:rPr>
          <w:b/>
          <w:bCs/>
        </w:rPr>
        <w:t xml:space="preserve">	CONFIDENTIALITY, TERM AND GENERAL</w:t>
      </w:r>
    </w:p>
    <w:p>
      <w:pPr>
        <w:tabs>
          <w:tab w:val="1" w:pos="620"/>
        </w:tabs>
        <w:spacing w:after="100" w:line="264"/>
        <w:ind w:left="620" w:hanging="620"/>
      </w:pPr>
      <w:r>
        <w:t xml:space="preserve">7.1	</w:t>
      </w:r>
      <w:r>
        <w:t xml:space="preserve">The confidentiality, notices, variation, assignment, third-party-rights, counterparts and governing-law provisions of the Subscription Agreement apply to this Agreement as if set out here in full.</w:t>
      </w:r>
    </w:p>
    <w:p>
      <w:pPr>
        <w:tabs>
          <w:tab w:val="1" w:pos="620"/>
        </w:tabs>
        <w:spacing w:after="100" w:line="264"/>
        <w:ind w:left="620" w:hanging="620"/>
      </w:pPr>
      <w:r>
        <w:t xml:space="preserve">7.2	</w:t>
      </w:r>
      <w:r>
        <w:t xml:space="preserve">This Agreement continues in force until the earlier of (a) a Listing, (b) a Sale, and (c) the date on which the Investors cease to hold any Shares. The information rights in clause 1 cease in respect of an Investor when it ceases to be a Qualifying Investor.</w:t>
      </w:r>
    </w:p>
    <w:p>
      <w:pPr>
        <w:spacing w:after="100" w:before="280" w:line="264"/>
      </w:pPr>
      <w:r>
        <w:rPr>
          <w:b/>
          <w:bCs/>
          <w:sz w:val="22"/>
          <w:szCs w:val="22"/>
        </w:rPr>
        <w:t xml:space="preserve">Investor entitlements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80"/>
        <w:gridCol w:w="2440"/>
        <w:gridCol w:w="1640"/>
      </w:tblGrid>
      <w:tr>
        <w:tc>
          <w:tcPr>
            <w:tcW w:type="dxa" w:w="34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Investor</w:t>
            </w:r>
          </w:p>
        </w:tc>
        <w:tc>
          <w:tcPr>
            <w:tcW w:type="dxa" w:w="18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Holding (FD)</w:t>
            </w:r>
          </w:p>
        </w:tc>
        <w:tc>
          <w:tcPr>
            <w:tcW w:type="dxa" w:w="244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Board seat</w:t>
            </w:r>
          </w:p>
        </w:tc>
        <w:tc>
          <w:tcPr>
            <w:tcW w:type="dxa" w:w="164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Information rights</w:t>
            </w:r>
          </w:p>
        </w:tc>
      </w:tr>
      <w:tr>
        <w:tc>
          <w:tcPr>
            <w:tcW w:type="dxa" w:w="3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Calderbrook Growth Partners LLP</w:t>
            </w:r>
          </w:p>
        </w:tc>
        <w:tc>
          <w:tcPr>
            <w:tcW w:type="dxa" w:w="18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18.75%</w:t>
            </w:r>
          </w:p>
        </w:tc>
        <w:tc>
          <w:tcPr>
            <w:tcW w:type="dxa" w:w="24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Yes (1 Director + Observer)</w:t>
            </w:r>
          </w:p>
        </w:tc>
        <w:tc>
          <w:tcPr>
            <w:tcW w:type="dxa" w:w="16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Full</w:t>
            </w:r>
          </w:p>
        </w:tc>
      </w:tr>
      <w:tr>
        <w:tc>
          <w:tcPr>
            <w:tcW w:type="dxa" w:w="3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Aldridge Seed LP</w:t>
            </w:r>
          </w:p>
        </w:tc>
        <w:tc>
          <w:tcPr>
            <w:tcW w:type="dxa" w:w="18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6.25%</w:t>
            </w:r>
          </w:p>
        </w:tc>
        <w:tc>
          <w:tcPr>
            <w:tcW w:type="dxa" w:w="24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No</w:t>
            </w:r>
          </w:p>
        </w:tc>
        <w:tc>
          <w:tcPr>
            <w:tcW w:type="dxa" w:w="16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Full (Qualifying Investor)</w:t>
            </w:r>
          </w:p>
        </w:tc>
      </w:tr>
    </w:tbl>
    <w:p>
      <w:pPr>
        <w:spacing w:after="200" w:before="360" w:line="264"/>
      </w:pPr>
      <w:r>
        <w:rPr>
          <w:i/>
          <w:iCs/>
        </w:rPr>
        <w:t xml:space="preserve">EXECUTED as an agreement on the date first stated above.</w:t>
      </w:r>
    </w:p>
    <w:p>
      <w:pPr>
        <w:spacing w:after="200" w:line="264"/>
      </w:pPr>
      <w:r>
        <w:t xml:space="preserve">Signed for and on behalf of PENROSE ROBOTICS LIMITED   ……………………………………</w:t>
      </w:r>
    </w:p>
    <w:p>
      <w:pPr>
        <w:spacing w:after="200" w:line="264"/>
      </w:pPr>
      <w:r>
        <w:t xml:space="preserve">Signed by DR MARCUS PENROSE and AISHA DEVLIN (Founders)   ……………………………………</w:t>
      </w:r>
    </w:p>
    <w:p>
      <w:pPr>
        <w:spacing w:after="200" w:line="264"/>
      </w:pPr>
      <w:r>
        <w:t xml:space="preserve">Signed for and on behalf of CALDERBROOK GROWTH PARTNERS LLP   ……………………………………</w:t>
      </w:r>
    </w:p>
    <w:p>
      <w:pPr>
        <w:spacing w:after="120" w:line="264"/>
      </w:pPr>
      <w:r>
        <w:t xml:space="preserve">Signed for and on behalf of ALDRIDGE SEED LP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sz w:val="16"/>
        <w:szCs w:val="16"/>
      </w:rPr>
      <w:t xml:space="preserve"/>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2026-06-25T21:55:42.304Z</dcterms:created>
  <dcterms:modified xsi:type="dcterms:W3CDTF">2026-06-25T21:55:42.304Z</dcterms:modified>
</cp:coreProperties>
</file>

<file path=docProps/custom.xml><?xml version="1.0" encoding="utf-8"?>
<Properties xmlns="http://schemas.openxmlformats.org/officeDocument/2006/custom-properties" xmlns:vt="http://schemas.openxmlformats.org/officeDocument/2006/docPropsVTypes"/>
</file>