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64"/>
      </w:pPr>
      <w:r>
        <w:t xml:space="preserve">14 November 2025</w:t>
      </w:r>
    </w:p>
    <w:p>
      <w:pPr>
        <w:spacing w:after="40" w:line="264"/>
      </w:pPr>
      <w:r>
        <w:t xml:space="preserve">To:  Penrose Robotics Limited</w:t>
      </w:r>
    </w:p>
    <w:p>
      <w:pPr>
        <w:spacing w:after="160" w:line="264"/>
      </w:pPr>
      <w:r>
        <w:t xml:space="preserve">Copy:  Aldridge Seed LP</w:t>
      </w:r>
    </w:p>
    <w:p>
      <w:pPr>
        <w:spacing w:after="120" w:line="264"/>
      </w:pPr>
      <w:r>
        <w:rPr>
          <w:b/>
          <w:bCs/>
        </w:rPr>
        <w:t xml:space="preserve">Dear Sirs</w:t>
      </w:r>
    </w:p>
    <w:p>
      <w:pPr>
        <w:spacing w:after="160" w:line="264"/>
      </w:pPr>
      <w:r>
        <w:rPr>
          <w:b/>
          <w:bCs/>
        </w:rPr>
        <w:t xml:space="preserve">Side Letter — Calderbrook Growth Partners LLP (Project Drake)</w:t>
      </w:r>
    </w:p>
    <w:p>
      <w:pPr>
        <w:spacing w:after="120" w:line="264"/>
      </w:pPr>
      <w:r>
        <w:t xml:space="preserve">This side letter is entered into in connection with, and is supplemental to, the Subscription and Shareholders’ Agreement and the Investor Rights Agreement, each dated 14 November 2025 (together, the “Transaction Documents”), relating to the Series A financing of Penrose Robotics Limited (the “Company”). Defined terms used but not defined here have the meanings given in the Transaction Documents. The rights granted under this letter are personal to Calderbrook Growth Partners LLP (the “Lead Investor”) and its Affiliates and are not capable of assignment other than to an Affiliate.</w:t>
      </w:r>
    </w:p>
    <w:p>
      <w:pPr>
        <w:tabs>
          <w:tab w:val="1" w:pos="560"/>
        </w:tabs>
        <w:spacing w:after="110" w:line="264"/>
        <w:ind w:left="560" w:hanging="560"/>
      </w:pPr>
      <w:r>
        <w:t xml:space="preserve">1	</w:t>
      </w:r>
      <w:r>
        <w:t xml:space="preserve">Most-favoured nation. If the Company grants any other investor in the Series A round (or in any subsequent round on substantially the same terms) rights that are more favourable, taken as a whole, than those granted to the Lead Investor, the Company shall promptly notify the Lead Investor and offer it the benefit of those more favourable rights.</w:t>
      </w:r>
    </w:p>
    <w:p>
      <w:pPr>
        <w:tabs>
          <w:tab w:val="1" w:pos="560"/>
        </w:tabs>
        <w:spacing w:after="110" w:line="264"/>
        <w:ind w:left="560" w:hanging="560"/>
      </w:pPr>
      <w:r>
        <w:t xml:space="preserve">2	</w:t>
      </w:r>
      <w:r>
        <w:t xml:space="preserve">Pro rata participation. For so long as the Lead Investor holds not less than 10% of the fully diluted share capital, it has the right to subscribe for its full pro rata share of any future equity financing in priority to any external investor, and the Company shall reserve that allocation for not less than 15 Business Days.</w:t>
      </w:r>
    </w:p>
    <w:p>
      <w:pPr>
        <w:tabs>
          <w:tab w:val="1" w:pos="560"/>
        </w:tabs>
        <w:spacing w:after="110" w:line="264"/>
        <w:ind w:left="560" w:hanging="560"/>
      </w:pPr>
      <w:r>
        <w:t xml:space="preserve">3	</w:t>
      </w:r>
      <w:r>
        <w:t xml:space="preserve">Enhanced reporting. In addition to the information rights in the Investor Rights Agreement, the Company shall provide the Lead Investor with a quarterly KPI pack (including ARR, gross margin, deployed-robot count, net revenue retention and cash runway) within 20 Business Days of each quarter end.</w:t>
      </w:r>
    </w:p>
    <w:p>
      <w:pPr>
        <w:tabs>
          <w:tab w:val="1" w:pos="560"/>
        </w:tabs>
        <w:spacing w:after="110" w:line="264"/>
        <w:ind w:left="560" w:hanging="560"/>
      </w:pPr>
      <w:r>
        <w:t xml:space="preserve">4	</w:t>
      </w:r>
      <w:r>
        <w:t xml:space="preserve">Monitoring fee. The Company shall reimburse the Lead Investor’s reasonable and properly documented out-of-pocket expenses incurred in connection with its board representation, up to £10,000 per annum, payable annually in arrears. No monitoring fee is otherwise payable.</w:t>
      </w:r>
    </w:p>
    <w:p>
      <w:pPr>
        <w:tabs>
          <w:tab w:val="1" w:pos="560"/>
        </w:tabs>
        <w:spacing w:after="110" w:line="264"/>
        <w:ind w:left="560" w:hanging="560"/>
      </w:pPr>
      <w:r>
        <w:t xml:space="preserve">5	</w:t>
      </w:r>
      <w:r>
        <w:t xml:space="preserve">Co-operation on follow-on funding. The Company shall keep the Lead Investor informed of its funding plans and shall consult the Lead Investor before appointing any corporate finance adviser in connection with a future financing round or a Sale.</w:t>
      </w:r>
    </w:p>
    <w:p>
      <w:pPr>
        <w:tabs>
          <w:tab w:val="1" w:pos="560"/>
        </w:tabs>
        <w:spacing w:after="110" w:line="264"/>
        <w:ind w:left="560" w:hanging="560"/>
      </w:pPr>
      <w:r>
        <w:t xml:space="preserve">6	</w:t>
      </w:r>
      <w:r>
        <w:t xml:space="preserve">General. This letter is confidential, is governed by the law of England and Wales, and is subject to the exclusive jurisdiction of the courts of England and Wales. Save as varied by this letter, the Transaction Documents continue in full force and effect; in the event of conflict between this letter and the Transaction Documents, this letter prevails as between the Company and the Lead Investor only.</w:t>
      </w:r>
    </w:p>
    <w:p>
      <w:pPr>
        <w:spacing w:after="200" w:before="160" w:line="264"/>
      </w:pPr>
      <w:r>
        <w:rPr>
          <w:i/>
          <w:iCs/>
        </w:rPr>
        <w:t xml:space="preserve">Please confirm your agreement to the above by signing and returning the enclosed copy.</w:t>
      </w:r>
    </w:p>
    <w:p>
      <w:pPr>
        <w:spacing w:after="160" w:line="264"/>
      </w:pPr>
      <w:r>
        <w:t xml:space="preserve">Yours faithfully,</w:t>
      </w:r>
    </w:p>
    <w:p>
      <w:pPr>
        <w:spacing w:after="40" w:line="264"/>
      </w:pPr>
      <w:r>
        <w:t xml:space="preserve">……………………………………………………</w:t>
      </w:r>
    </w:p>
    <w:p>
      <w:pPr>
        <w:spacing w:after="240" w:line="264"/>
      </w:pPr>
      <w:r>
        <w:t xml:space="preserve">For and on behalf of CALDERBROOK GROWTH PARTNERS LLP</w:t>
      </w:r>
    </w:p>
    <w:p>
      <w:pPr>
        <w:spacing w:after="160" w:line="264"/>
      </w:pPr>
      <w:r>
        <w:rPr>
          <w:b/>
          <w:bCs/>
        </w:rPr>
        <w:t xml:space="preserve">Agreed and accepted:</w:t>
      </w:r>
    </w:p>
    <w:p>
      <w:pPr>
        <w:spacing w:after="40" w:line="264"/>
      </w:pPr>
      <w:r>
        <w:t xml:space="preserve">……………………………………………………</w:t>
      </w:r>
    </w:p>
    <w:p>
      <w:pPr>
        <w:spacing w:after="120" w:line="264"/>
      </w:pPr>
      <w:r>
        <w:t xml:space="preserve">For and on behalf of PENROSE ROBOTICS LIMITED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after="0" w:before="40"/>
    </w:pPr>
    <w:r>
      <w:rPr>
        <w:color w:val="777777"/>
        <w:sz w:val="13"/>
        <w:szCs w:val="13"/>
      </w:rPr>
      <w:t xml:space="preserve">Whitfield Carter LLP is a limited liability partnership registered in England and Wales (OC— ). Authorised and regulated by the Solicitors Regulation Authority.</w:t>
    </w:r>
  </w:p>
  <w:p>
    <w:pPr>
      <w:spacing w:after="0"/>
      <w:jc w:val="right"/>
    </w:pPr>
    <w:r>
      <w:rPr>
        <w:color w:val="777777"/>
        <w:sz w:val="14"/>
        <w:szCs w:val="14"/>
      </w:rPr>
      <w:t xml:space="preserve">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1F3864"/>
        <w:sz w:val="30"/>
        <w:szCs w:val="30"/>
      </w:rPr>
      <w:t xml:space="preserve">Whitfield Carter LLP</w:t>
    </w:r>
  </w:p>
  <w:p>
    <w:pPr>
      <w:pBdr>
        <w:bottom w:val="single" w:color="1F3864" w:sz="6" w:space="1"/>
      </w:pBdr>
      <w:spacing w:after="40"/>
    </w:pPr>
    <w:r>
      <w:rPr>
        <w:color w:val="555555"/>
        <w:sz w:val="16"/>
        <w:szCs w:val="16"/>
      </w:rPr>
      <w:t xml:space="preserve">22 Bishopsgate, London EC2N 4BQ  ·  T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2026-06-25T21:55:42.692Z</dcterms:created>
  <dcterms:modified xsi:type="dcterms:W3CDTF">2026-06-25T21:55:42.692Z</dcterms:modified>
</cp:coreProperties>
</file>

<file path=docProps/custom.xml><?xml version="1.0" encoding="utf-8"?>
<Properties xmlns="http://schemas.openxmlformats.org/officeDocument/2006/custom-properties" xmlns:vt="http://schemas.openxmlformats.org/officeDocument/2006/docPropsVTypes"/>
</file>