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64"/>
        <w:jc w:val="center"/>
      </w:pPr>
      <w:r>
        <w:rPr>
          <w:b/>
          <w:bCs/>
          <w:sz w:val="30"/>
          <w:szCs w:val="30"/>
        </w:rPr>
        <w:t xml:space="preserve">PROJECT DRAKE</w:t>
      </w:r>
    </w:p>
    <w:p>
      <w:pPr>
        <w:spacing w:after="40" w:line="264"/>
        <w:jc w:val="center"/>
      </w:pPr>
      <w:r>
        <w:rPr>
          <w:b/>
          <w:bCs/>
          <w:sz w:val="24"/>
          <w:szCs w:val="24"/>
        </w:rPr>
        <w:t xml:space="preserve">Term Sheet for the proposed Series A investment in Penrose Robotics Limited</w:t>
      </w:r>
    </w:p>
    <w:p>
      <w:pPr>
        <w:spacing w:after="200" w:line="264"/>
        <w:jc w:val="center"/>
      </w:pPr>
      <w:r>
        <w:rPr>
          <w:b/>
          <w:bCs/>
          <w:color w:val="B00020"/>
          <w:sz w:val="18"/>
          <w:szCs w:val="18"/>
        </w:rPr>
        <w:t xml:space="preserve">STRICTLY PRIVATE &amp; CONFIDENTIAL — SUBJECT TO CONTRACT</w:t>
      </w:r>
    </w:p>
    <w:p>
      <w:pPr>
        <w:spacing w:after="200" w:line="264"/>
      </w:pPr>
      <w:r>
        <w:rPr>
          <w:b/>
          <w:bCs/>
        </w:rPr>
        <w:t xml:space="preserve">Dated: 11 September 2025</w:t>
      </w:r>
    </w:p>
    <w:p>
      <w:pPr>
        <w:spacing w:after="120" w:line="264"/>
      </w:pPr>
      <w:r>
        <w:t xml:space="preserve">This term sheet (the “Term Sheet”) sets out the principal terms on which Calderbrook Growth Partners LLP (on behalf of one or more of its managed funds) (the “Lead Investor”) and the other investors listed in Part B of the Schedule (together with the Lead Investor, the “Investors”) propose to subscribe for newly-issued Series A Preferred Shares in the capital of Penrose Robotics Limited (registered number 12648931) (the “Company”).</w:t>
      </w:r>
    </w:p>
    <w:p>
      <w:pPr>
        <w:spacing w:after="120" w:line="264"/>
      </w:pPr>
      <w:r>
        <w:t xml:space="preserve">Save for the paragraphs headed Exclusivity, Costs, Confidentiality and Governing Law (which are intended to be legally binding), this Term Sheet is a statement of intent only, is subject to contract and to satisfactory completion of due diligence, and does not constitute a legally binding commitment by any party to proceed with the Investment.</w:t>
      </w:r>
    </w:p>
    <w:p>
      <w:pPr>
        <w:pStyle w:val="Heading2"/>
        <w:spacing w:after="120" w:line="264"/>
      </w:pPr>
      <w:r>
        <w:t xml:space="preserve">1.  Headline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Term</w:t>
            </w:r>
          </w:p>
        </w:tc>
        <w:tc>
          <w:tcPr>
            <w:tcW w:type="dxa" w:w="676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Summary</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Company</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Penrose Robotics Limited (the “Company”), a developer of autonomous mobile robots and fleet-orchestration software for warehouse and intralogistics operations.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Round</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Series A.</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Pre-money valuation</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£24,000,000 (fully diluted, including the Enlarged Option Pool referred to below).</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Investment amount</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£8,000,000 in aggregate (the “Investment”).</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Post-money valuation</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£32,000,000.</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Resulting Investor stake</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25.0% of the fully diluted share capital on Completion.</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Security</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Series A Preferred Shares of £0.0001 each (the “Series A Shares”).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Issue price</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£8.00 per Series A Share (the “Issue Price”).</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New shares to be issued</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1,000,000 Series A Shares.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Lead Investor allocation</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Calderbrook Growth Partners LLP — £6,000,000 (750,000 Series A Shares).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Co-investor allocation</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Aldridge Seed LP — £2,000,000 (250,000 Series A Shares).</w:t>
            </w:r>
          </w:p>
        </w:tc>
      </w:tr>
    </w:tbl>
    <w:p>
      <w:pPr>
        <w:spacing w:after="40" w:line="264"/>
      </w:pPr>
      <w:r>
        <w:t xml:space="preserve"/>
      </w:r>
    </w:p>
    <w:p>
      <w:pPr>
        <w:pStyle w:val="Heading2"/>
        <w:spacing w:after="120" w:line="264"/>
      </w:pPr>
      <w:r>
        <w:t xml:space="preserve">2.  Investor rights and protections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Term</w:t>
            </w:r>
          </w:p>
        </w:tc>
        <w:tc>
          <w:tcPr>
            <w:tcW w:type="dxa" w:w="676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Summary</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Liquidation preference</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1.0x non-participating preference on the Issue Price (plus declared but unpaid dividends), with a broad-based weighted-average anti-dilution adjustment.</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Conversion</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Convertible to Ordinary Shares at any time at the holder’s option (initially 1:1); automatic conversion on a Qualifying IPO or by Investor Majority consent.</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Dividends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Non-cumulative; the Series A Shares rank ahead of the Ordinary Shares as to any dividend declared.</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Pre-emption</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Full pre-emption rights on new issues and on transfers, subject to customary permitted-transfer carve-outs.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Investor Director</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The Lead Investor may appoint one director (the “Investor Director”) — Eleanor Whitmore — and one non-voting Observer.</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Consent matters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Schedule of investor consent matters (budget, borrowing above £500,000, share issues, M&amp;A, related-party transactions, senior hires, changes to the Articles).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Information rights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Monthly management accounts, annual audited accounts and board packs; approved annual budget.</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Founder leaver / vesting</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Founder shares subject to 4-year reverse vesting (1-year cliff) with good/bad leaver provisions, measured from the founders’ respective start dates.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Option pool</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Option pool to be increased to 12.0% of the fully diluted post-money share capital (the “Enlarged Option Pool”), created pre-money.</w:t>
            </w:r>
          </w:p>
        </w:tc>
      </w:tr>
    </w:tbl>
    <w:p>
      <w:pPr>
        <w:spacing w:after="40" w:line="264"/>
      </w:pPr>
      <w:r>
        <w:t xml:space="preserve"/>
      </w:r>
    </w:p>
    <w:p>
      <w:pPr>
        <w:pStyle w:val="Heading2"/>
        <w:spacing w:after="120" w:line="264"/>
      </w:pPr>
      <w:r>
        <w:t xml:space="preserve">3.  Conditions, process and binding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Term</w:t>
            </w:r>
          </w:p>
        </w:tc>
        <w:tc>
          <w:tcPr>
            <w:tcW w:type="dxa" w:w="6760"/>
            <w:tcBorders>
              <w:top w:val="single" w:color="AAAAAA" w:sz="1"/>
              <w:left w:val="single" w:color="AAAAAA" w:sz="1"/>
              <w:bottom w:val="single" w:color="AAAAAA" w:sz="1"/>
              <w:right w:val="single" w:color="AAAAAA" w:sz="1"/>
            </w:tcBorders>
            <w:shd w:fill="D9E2EC" w:val="clear"/>
            <w:tcMar>
              <w:top w:type="dxa" w:w="60"/>
              <w:left w:type="dxa" w:w="110"/>
              <w:bottom w:type="dxa" w:w="60"/>
              <w:right w:type="dxa" w:w="110"/>
            </w:tcMar>
          </w:tcPr>
          <w:p>
            <w:pPr>
              <w:spacing w:after="0" w:line="252"/>
            </w:pPr>
            <w:r>
              <w:rPr>
                <w:b/>
                <w:bCs/>
              </w:rPr>
              <w:t xml:space="preserve">Summary</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Conditions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Satisfactory legal, financial and technical due diligence; adoption of new Articles; entry into the Investment Agreement, Investor Rights Agreement and a Side Letter; board and shareholder approvals; and receipt of valid EIS/VCT advance assurance where applicable.</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Exclusivity</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The Company grants the Lead Investor exclusivity until 15 November 2025 (the “Exclusivity Period”) (binding).</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Costs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The Company will pay the Lead Investor’s reasonable legal fees up to a cap of £55,000 (plus VAT and disbursements), payable on Completion or, if the transaction does not complete other than due to Investor default, capped at £20,000 (binding).</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Confidentiality</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Each party will keep the existence and terms of this Term Sheet and the proposed Investment confidential (binding).</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Target completion</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On or around 14 November 2025.</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Governing law</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line="252"/>
            </w:pPr>
            <w:r>
              <w:rPr>
                <w:b w:val="false"/>
                <w:bCs w:val="false"/>
              </w:rPr>
              <w:t xml:space="preserve">English law; courts of England and Wales (binding).</w:t>
            </w:r>
          </w:p>
        </w:tc>
      </w:tr>
    </w:tbl>
    <w:p>
      <w:pPr>
        <w:spacing w:after="100" w:before="240" w:line="264"/>
      </w:pPr>
      <w:r>
        <w:rPr>
          <w:b/>
          <w:bCs/>
          <w:sz w:val="22"/>
          <w:szCs w:val="22"/>
        </w:rPr>
        <w:t xml:space="preserve">Schedule — Parties and advisers</w:t>
      </w:r>
    </w:p>
    <w:p>
      <w:pPr>
        <w:spacing w:after="60" w:line="264"/>
      </w:pPr>
      <w:r>
        <w:rPr>
          <w:b/>
          <w:bCs/>
        </w:rPr>
        <w:t xml:space="preserve">Part A — Company</w:t>
      </w:r>
    </w:p>
    <w:p>
      <w:pPr>
        <w:pStyle w:val="ListParagraph"/>
        <w:numPr>
          <w:ilvl w:val="0"/>
          <w:numId w:val="2"/>
        </w:numPr>
        <w:spacing w:after="60" w:line="264"/>
      </w:pPr>
      <w:r>
        <w:t xml:space="preserve">Penrose Robotics Limited, 3rd Floor, Veridian House, 84–90 St John Street, London EC1M 4EH.</w:t>
      </w:r>
    </w:p>
    <w:p>
      <w:pPr>
        <w:pStyle w:val="ListParagraph"/>
        <w:numPr>
          <w:ilvl w:val="0"/>
          <w:numId w:val="2"/>
        </w:numPr>
        <w:spacing w:after="60" w:line="264"/>
      </w:pPr>
      <w:r>
        <w:t xml:space="preserve">Founders: Dr Marcus Penrose (CEO) and Aisha Devlin (CTO).</w:t>
      </w:r>
    </w:p>
    <w:p>
      <w:pPr>
        <w:pStyle w:val="ListParagraph"/>
        <w:numPr>
          <w:ilvl w:val="0"/>
          <w:numId w:val="2"/>
        </w:numPr>
        <w:spacing w:after="60" w:line="264"/>
      </w:pPr>
      <w:r>
        <w:t xml:space="preserve">Company solicitors: Whitfield Carter LLP (Sarah Whitfield, James Osei, Elena Marchetti).</w:t>
      </w:r>
    </w:p>
    <w:p>
      <w:pPr>
        <w:spacing w:after="60" w:before="120" w:line="264"/>
      </w:pPr>
      <w:r>
        <w:rPr>
          <w:b/>
          <w:bCs/>
        </w:rPr>
        <w:t xml:space="preserve">Part B — Investors</w:t>
      </w:r>
    </w:p>
    <w:p>
      <w:pPr>
        <w:pStyle w:val="ListParagraph"/>
        <w:numPr>
          <w:ilvl w:val="0"/>
          <w:numId w:val="2"/>
        </w:numPr>
        <w:spacing w:after="60" w:line="264"/>
      </w:pPr>
      <w:r>
        <w:t xml:space="preserve">Calderbrook Growth Partners LLP (Lead) — £6,000,000.</w:t>
      </w:r>
    </w:p>
    <w:p>
      <w:pPr>
        <w:pStyle w:val="ListParagraph"/>
        <w:numPr>
          <w:ilvl w:val="0"/>
          <w:numId w:val="2"/>
        </w:numPr>
        <w:spacing w:after="60" w:line="264"/>
      </w:pPr>
      <w:r>
        <w:t xml:space="preserve">Aldridge Seed LP — £2,000,000.</w:t>
      </w:r>
    </w:p>
    <w:p>
      <w:pPr>
        <w:pStyle w:val="ListParagraph"/>
        <w:numPr>
          <w:ilvl w:val="0"/>
          <w:numId w:val="2"/>
        </w:numPr>
        <w:spacing w:after="60" w:line="264"/>
      </w:pPr>
      <w:r>
        <w:t xml:space="preserve">Investor solicitors: Birchall Stone LLP (Oliver Jennings, Deepa Kovac).</w:t>
      </w:r>
    </w:p>
    <w:p>
      <w:pPr>
        <w:spacing w:after="200" w:before="280" w:line="264"/>
      </w:pPr>
      <w:r>
        <w:rPr>
          <w:b/>
          <w:bCs/>
        </w:rPr>
        <w:t xml:space="preserve">Signed for and on behalf of the Company:</w:t>
      </w:r>
    </w:p>
    <w:p>
      <w:pPr>
        <w:spacing w:after="240" w:line="264"/>
      </w:pPr>
      <w:r>
        <w:t xml:space="preserve">……………………………………………………        Dr Marcus Penrose, Director</w:t>
      </w:r>
    </w:p>
    <w:p>
      <w:pPr>
        <w:spacing w:after="200" w:line="264"/>
      </w:pPr>
      <w:r>
        <w:rPr>
          <w:b/>
          <w:bCs/>
        </w:rPr>
        <w:t xml:space="preserve">Acknowledged by the Lead Investor:</w:t>
      </w:r>
    </w:p>
    <w:p>
      <w:pPr>
        <w:spacing w:after="120" w:line="264"/>
      </w:pPr>
      <w:r>
        <w:t xml:space="preserve">……………………………………………………        Eleanor Whitmore, Partner, Calderbrook Growth Partners LLP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spacing w:after="0" w:before="40"/>
    </w:pPr>
    <w:r>
      <w:rPr>
        <w:color w:val="777777"/>
        <w:sz w:val="13"/>
        <w:szCs w:val="13"/>
      </w:rPr>
      <w:t xml:space="preserve">Whitfield Carter LLP is a limited liability partnership registered in England and Wales (OC— ). Authorised and regulated by the Solicitors Regulation Authority.</w:t>
    </w:r>
  </w:p>
  <w:p>
    <w:pPr>
      <w:spacing w:after="0"/>
      <w:jc w:val="right"/>
    </w:pPr>
    <w:r>
      <w:rPr>
        <w:color w:val="777777"/>
        <w:sz w:val="14"/>
        <w:szCs w:val="14"/>
      </w:rPr>
      <w:t xml:space="preserve">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b/>
        <w:bCs/>
        <w:color w:val="1F3864"/>
        <w:sz w:val="30"/>
        <w:szCs w:val="30"/>
      </w:rPr>
      <w:t xml:space="preserve">Whitfield Carter LLP</w:t>
    </w:r>
  </w:p>
  <w:p>
    <w:pPr>
      <w:pBdr>
        <w:bottom w:val="single" w:color="1F3864" w:sz="6" w:space="1"/>
      </w:pBdr>
      <w:spacing w:after="40"/>
    </w:pPr>
    <w:r>
      <w:rPr>
        <w:color w:val="555555"/>
        <w:sz w:val="16"/>
        <w:szCs w:val="16"/>
      </w:rPr>
      <w:t xml:space="preserve">22 Bishopsgate, London EC2N 4BQ  ·  T +44 (0)20 7946 0000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2026-06-25T21:55:41.976Z</dcterms:created>
  <dcterms:modified xsi:type="dcterms:W3CDTF">2026-06-25T21:55:41.977Z</dcterms:modified>
</cp:coreProperties>
</file>

<file path=docProps/custom.xml><?xml version="1.0" encoding="utf-8"?>
<Properties xmlns="http://schemas.openxmlformats.org/officeDocument/2006/custom-properties" xmlns:vt="http://schemas.openxmlformats.org/officeDocument/2006/docPropsVTypes"/>
</file>