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THE COMPANIES ACT 2006</w:t>
      </w:r>
    </w:p>
    <w:p>
      <w:pPr>
        <w:spacing w:after="200"/>
        <w:jc w:val="center"/>
      </w:pPr>
      <w:r>
        <w:rPr>
          <w:sz w:val="20"/>
          <w:szCs w:val="20"/>
        </w:rPr>
        <w:t xml:space="preserve">PRIVATE COMPANY LIMITED BY SHARES</w:t>
      </w:r>
    </w:p>
    <w:p>
      <w:pPr>
        <w:spacing w:after="300"/>
        <w:jc w:val="center"/>
      </w:pPr>
      <w:r>
        <w:rPr>
          <w:b/>
          <w:bCs/>
          <w:color w:val="1F3864"/>
          <w:sz w:val="30"/>
          <w:szCs w:val="30"/>
        </w:rPr>
        <w:t xml:space="preserve">ARTICLES OF ASSOCIATION</w:t>
      </w:r>
    </w:p>
    <w:p>
      <w:pPr>
        <w:spacing w:after="300"/>
        <w:jc w:val="center"/>
      </w:pPr>
      <w:r>
        <w:rPr>
          <w:sz w:val="20"/>
          <w:szCs w:val="20"/>
        </w:rPr>
        <w:t xml:space="preserve">of Penrose Robotics Limited (adopted by special resolution on 29 May 2026)</w:t>
      </w:r>
    </w:p>
    <w:p>
      <w:pPr>
        <w:pStyle w:val="Heading1"/>
      </w:pPr>
      <w:r>
        <w:t xml:space="preserve">1.  Preliminary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The model articles for private companies limited by shares do not apply to the Company. These Articles regulate the Company in their place.</w:t>
      </w:r>
    </w:p>
    <w:p>
      <w:pPr>
        <w:pStyle w:val="Heading1"/>
      </w:pPr>
      <w:r>
        <w:t xml:space="preserve">2.  Share capital and rights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The share capital of the Company comprises Ordinary Shares and Series A Preferred Shares and Series B Preferred Shares, each of £0.001.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The Series B Preferred Shares carry the rights set out in these Articles, including a 1x non-participating liquidation preference ranking ahead of the Series A Preferred Shares and the Ordinary Shares.</w:t>
      </w:r>
    </w:p>
    <w:p>
      <w:pPr>
        <w:pStyle w:val="Heading1"/>
      </w:pPr>
      <w:r>
        <w:t xml:space="preserve">3.  Liquidation preference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On a return of capital (including on a sale or liquidation), the assets available shall be applied first in paying to the holders of Series B Preferred Shares the Series B subscription price, then to the Series A holders, then the balance to all shareholders pro rata.</w:t>
      </w:r>
    </w:p>
    <w:p>
      <w:pPr>
        <w:pStyle w:val="Heading1"/>
      </w:pPr>
      <w:r>
        <w:t xml:space="preserve">4.  Anti-dilution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If the Company issues shares at a price below the Series B subscription price, the conversion rate of the Series B Preferred Shares shall be adjusted on a broad-based weighted-average basis.</w:t>
      </w:r>
    </w:p>
    <w:p>
      <w:pPr>
        <w:pStyle w:val="Heading1"/>
      </w:pPr>
      <w:r>
        <w:t xml:space="preserve">5.  Pre-emption on allotment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New shares shall first be offered to existing shareholders pro rata, save for permitted issues under the option pool and other excluded issues.</w:t>
      </w:r>
    </w:p>
    <w:p>
      <w:pPr>
        <w:pStyle w:val="Heading1"/>
      </w:pPr>
      <w:r>
        <w:t xml:space="preserve">6.  Transfers, pre-emption, drag and tag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Transfers of shares are subject to pre-emption rights in favour of existing shareholders, and to drag-along and tag-along provisions on a sale of the Company.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Permitted transfers (to affiliates, family trusts and the like) are exempt from the pre-emption provisions.</w:t>
      </w:r>
    </w:p>
    <w:p>
      <w:pPr>
        <w:pStyle w:val="Heading1"/>
      </w:pPr>
      <w:r>
        <w:t xml:space="preserve">7.  Consent matters and Investor Director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Certain matters require Investor consent and the Lead Investor may appoint the Investor Director, consistent with the Subscription Agreement and the Investor Rights Agreement.</w:t>
      </w:r>
    </w:p>
    <w:p>
      <w:pPr>
        <w:pStyle w:val="Heading1"/>
      </w:pPr>
      <w:r>
        <w:t xml:space="preserve">8.  Conversion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Each Preferred Share converts into Ordinary Shares on a qualifying IPO or with the consent of the relevant class, at the applicable conversion rate.</w:t>
      </w:r>
    </w:p>
    <w:p>
      <w:pPr>
        <w:pStyle w:val="Heading1"/>
      </w:pPr>
      <w:r>
        <w:t xml:space="preserve">9.  General meetings and votes</w:t>
      </w:r>
    </w:p>
    <w:p>
      <w:pPr>
        <w:pStyle w:val="ListParagraph"/>
        <w:numPr>
          <w:ilvl w:val="1"/>
          <w:numId w:val="2"/>
        </w:numPr>
        <w:spacing w:after="100"/>
      </w:pPr>
      <w:r>
        <w:t xml:space="preserve">Each share carries one vote. Class consents are required for variations of class rights.</w:t>
      </w:r>
    </w:p>
    <w:p>
      <w:pPr>
        <w:spacing w:before="300"/>
      </w:pPr>
      <w:r>
        <w:rPr>
          <w:i/>
          <w:iCs/>
        </w:rPr>
        <w:t xml:space="preserve">These Articles were adopted by special resolution of the Company.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4"/>
      </w:pBdr>
    </w:pPr>
    <w:r>
      <w:rPr>
        <w:color w:val="666666"/>
        <w:sz w:val="16"/>
        <w:szCs w:val="16"/>
      </w:rPr>
      <w:t xml:space="preserve">Whitfield Carter LLP | 22 Bishopsgate, London EC2N 4BQ | Confidential</w:t>
    </w:r>
  </w:p>
  <w:p>
    <w:pPr>
      <w:tabs>
        <w:tab w:val="right" w:pos="9026"/>
      </w:tabs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  <w:lvl w:ilvl="1" w15:tentative="1">
      <w:start w:val="1"/>
      <w:numFmt w:val="decimal"/>
      <w:lvlText w:val="%1.%2"/>
      <w:lvlJc w:val="left"/>
      <w:pPr>
        <w:ind w:left="720" w:hanging="480"/>
      </w:pPr>
    </w:lvl>
    <w:lvl w:ilvl="2" w15:tentative="1">
      <w:start w:val="1"/>
      <w:numFmt w:val="lowerLetter"/>
      <w:lvlText w:val="(%3)"/>
      <w:lvlJc w:val="left"/>
      <w:pPr>
        <w:ind w:left="120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2026-06-26T14:11:48.559Z</dcterms:created>
  <dcterms:modified xsi:type="dcterms:W3CDTF">2026-06-26T14:11:48.559Z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