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4"/>
          <w:szCs w:val="24"/>
        </w:rPr>
        <w:t xml:space="preserve">PROJECT FALCON — COMPLETION CHECKLIST</w:t>
      </w:r>
    </w:p>
    <w:p>
      <w:pPr>
        <w:spacing w:after="120"/>
      </w:pPr>
      <w:r>
        <w:t xml:space="preserve">Series B subscription in Penrose Robotics Limited — Completion 29 May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26"/>
        <w:gridCol w:w="2400"/>
        <w:gridCol w:w="14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 sheet signed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/ Lead Investor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and financial due diligence completed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Investors / advisers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Disclosure Letter agreed and signed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Articles in agreed form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 pool enlarged to 13.0%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resolutions (allotment &amp; approval)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Shareholder special resolution (Articles)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 &amp; Shareholders' Agreement executed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parties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Investor Rights Agreement executed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parties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 letter countersigned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/ Lead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 monies received (£14,000,000)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Investors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certificates issued; register updated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Companies House filings (SH01, resolutions)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 table updated (post-money)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/ WC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Prepared by Whitfield Carter LLP. Items marked Pending to be completed within statutory deadlines following Completion.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</w:pPr>
    <w:r>
      <w:rPr>
        <w:color w:val="666666"/>
        <w:sz w:val="16"/>
        <w:szCs w:val="16"/>
      </w:rPr>
      <w:t xml:space="preserve">Whitfield Carter LLP | 22 Bishopsgate, London EC2N 4BQ | Confidential</w:t>
    </w:r>
  </w:p>
  <w:p>
    <w:pPr>
      <w:tabs>
        <w:tab w:val="right" w:pos="9026"/>
      </w:tabs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720" w:hanging="480"/>
      </w:pPr>
    </w:lvl>
    <w:lvl w:ilvl="2" w15:tentative="1">
      <w:start w:val="1"/>
      <w:numFmt w:val="lowerLetter"/>
      <w:lvlText w:val="(%3)"/>
      <w:lvlJc w:val="left"/>
      <w:pPr>
        <w:ind w:left="120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2026-06-26T14:11:48.610Z</dcterms:created>
  <dcterms:modified xsi:type="dcterms:W3CDTF">2026-06-26T14:11:48.610Z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