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24"/>
          <w:szCs w:val="24"/>
        </w:rPr>
        <w:t xml:space="preserve">PROJECT FALCON — DISCLOSURE LETTER</w:t>
      </w:r>
    </w:p>
    <w:p>
      <w:pPr>
        <w:spacing w:after="120"/>
      </w:pPr>
      <w:r>
        <w:t xml:space="preserve">Date: 29 May 2026</w:t>
      </w:r>
    </w:p>
    <w:p>
      <w:pPr>
        <w:spacing w:after="120"/>
      </w:pPr>
      <w:r>
        <w:t xml:space="preserve">From: Penrose Robotics Limited and the Founders (the "Warrantors")</w:t>
      </w:r>
    </w:p>
    <w:p>
      <w:pPr>
        <w:spacing w:after="120"/>
      </w:pPr>
      <w:r>
        <w:t xml:space="preserve">To: Westbridge Growth Capital LLP, Calderbrook Growth Partners LLP and Aldridge Seed LP (the "Investors")</w:t>
      </w:r>
    </w:p>
    <w:p>
      <w:pPr>
        <w:spacing w:after="120"/>
      </w:pPr>
      <w:r>
        <w:t xml:space="preserve">Dear Sirs</w:t>
      </w:r>
    </w:p>
    <w:p>
      <w:pPr>
        <w:spacing w:after="120"/>
      </w:pPr>
      <w:r>
        <w:rPr>
          <w:b/>
          <w:bCs/>
        </w:rPr>
        <w:t xml:space="preserve">Series B Subscription and Shareholders' Agreement of even date (the "Agreement")</w:t>
      </w:r>
    </w:p>
    <w:p>
      <w:pPr>
        <w:spacing w:after="120"/>
      </w:pPr>
      <w:r>
        <w:t xml:space="preserve">This is the Disclosure Letter referred to in the Agreement. Words and expressions defined in the Agreement have the same meaning in this letter. This letter qualifies the Warranties given in clause 9 and Schedule 3 of the Agreement.</w:t>
      </w:r>
    </w:p>
    <w:p>
      <w:pPr>
        <w:pStyle w:val="Heading1"/>
      </w:pPr>
      <w:r>
        <w:t xml:space="preserve">1.  General disclosures</w:t>
      </w:r>
    </w:p>
    <w:p>
      <w:pPr>
        <w:spacing w:after="120"/>
      </w:pPr>
      <w:r>
        <w:t xml:space="preserve">The Investors are deemed to have knowledge of, and the Warranties are qualified by reference to, all matters which would be revealed by: (a) searches at Companies House and the Intellectual Property Office made within 5 Business Days of the date of this letter; and (b) the contents of the data room made available to the Investors.</w:t>
      </w:r>
    </w:p>
    <w:p>
      <w:pPr>
        <w:pStyle w:val="Heading1"/>
      </w:pPr>
      <w:r>
        <w:t xml:space="preserve">2.  Specific disclosures</w:t>
      </w:r>
    </w:p>
    <w:p>
      <w:pPr>
        <w:pStyle w:val="Heading2"/>
      </w:pPr>
      <w:r>
        <w:t xml:space="preserve">Against the IP Warranties</w:t>
      </w:r>
    </w:p>
    <w:p>
      <w:pPr>
        <w:pStyle w:val="ListParagraph"/>
        <w:numPr>
          <w:ilvl w:val="0"/>
          <w:numId w:val="2"/>
        </w:numPr>
        <w:spacing w:after="80"/>
      </w:pPr>
      <w:r>
        <w:t xml:space="preserve">The Company has two patent applications pending (autonomous fleet path-planning and gripper actuation) which have not yet proceeded to grant; status is set out in data room folder 4.2.</w:t>
      </w:r>
    </w:p>
    <w:p>
      <w:pPr>
        <w:pStyle w:val="ListParagraph"/>
        <w:numPr>
          <w:ilvl w:val="0"/>
          <w:numId w:val="2"/>
        </w:numPr>
        <w:spacing w:after="80"/>
      </w:pPr>
      <w:r>
        <w:t xml:space="preserve">The Company licenses a third-party SLAM library under a commercial licence terminable on 12 months' notice; see data room folder 4.5.</w:t>
      </w:r>
    </w:p>
    <w:p>
      <w:pPr>
        <w:pStyle w:val="Heading2"/>
      </w:pPr>
      <w:r>
        <w:t xml:space="preserve">Against the Financial Warranties</w:t>
      </w:r>
    </w:p>
    <w:p>
      <w:pPr>
        <w:pStyle w:val="ListParagraph"/>
        <w:numPr>
          <w:ilvl w:val="0"/>
          <w:numId w:val="2"/>
        </w:numPr>
        <w:spacing w:after="80"/>
      </w:pPr>
      <w:r>
        <w:t xml:space="preserve">The Company has an outstanding venture loan facility of £2,000,000 from its existing lender, £1,200,000 of which is drawn; see data room folder 3.1.</w:t>
      </w:r>
    </w:p>
    <w:p>
      <w:pPr>
        <w:pStyle w:val="ListParagraph"/>
        <w:numPr>
          <w:ilvl w:val="0"/>
          <w:numId w:val="2"/>
        </w:numPr>
        <w:spacing w:after="80"/>
      </w:pPr>
      <w:r>
        <w:t xml:space="preserve">Trade debtors include one balance of £180,000 more than 90 days overdue, in respect of which a payment plan has been agreed.</w:t>
      </w:r>
    </w:p>
    <w:p>
      <w:pPr>
        <w:pStyle w:val="Heading2"/>
      </w:pPr>
      <w:r>
        <w:t xml:space="preserve">Against the Commercial Warranties</w:t>
      </w:r>
    </w:p>
    <w:p>
      <w:pPr>
        <w:pStyle w:val="ListParagraph"/>
        <w:numPr>
          <w:ilvl w:val="0"/>
          <w:numId w:val="2"/>
        </w:numPr>
        <w:spacing w:after="80"/>
      </w:pPr>
      <w:r>
        <w:t xml:space="preserve">The Company's largest customer contract (with a national grocery retailer) contains a change-of-control notification provision; see data room folder 5.3.</w:t>
      </w:r>
    </w:p>
    <w:p>
      <w:pPr>
        <w:pStyle w:val="ListParagraph"/>
        <w:numPr>
          <w:ilvl w:val="0"/>
          <w:numId w:val="2"/>
        </w:numPr>
        <w:spacing w:after="80"/>
      </w:pPr>
      <w:r>
        <w:t xml:space="preserve">A supplier of drive motors has given notice of a 6% price increase effective from the next quarter.</w:t>
      </w:r>
    </w:p>
    <w:p>
      <w:pPr>
        <w:pStyle w:val="Heading2"/>
      </w:pPr>
      <w:r>
        <w:t xml:space="preserve">Against the Employment Warranties</w:t>
      </w:r>
    </w:p>
    <w:p>
      <w:pPr>
        <w:pStyle w:val="ListParagraph"/>
        <w:numPr>
          <w:ilvl w:val="0"/>
          <w:numId w:val="2"/>
        </w:numPr>
        <w:spacing w:after="80"/>
      </w:pPr>
      <w:r>
        <w:t xml:space="preserve">One former employee has raised a grievance regarding accrued commission; the matter is at an early stage and is not considered material.</w:t>
      </w:r>
    </w:p>
    <w:p>
      <w:pPr>
        <w:pStyle w:val="Heading1"/>
      </w:pPr>
      <w:r>
        <w:t xml:space="preserve">3.  Disclosure of the data room</w:t>
      </w:r>
    </w:p>
    <w:p>
      <w:pPr>
        <w:spacing w:after="120"/>
      </w:pPr>
      <w:r>
        <w:t xml:space="preserve">The documents in the data room (an index of which is annexed) are disclosed against the Warranties generally. The Investors acknowledge that they have had the opportunity to review the data room.</w:t>
      </w:r>
    </w:p>
    <w:p>
      <w:pPr>
        <w:spacing w:before="200"/>
      </w:pPr>
      <w:r>
        <w:t xml:space="preserve">Yours faithfully</w:t>
      </w:r>
    </w:p>
    <w:p>
      <w:pPr>
        <w:spacing w:before="240"/>
      </w:pPr>
      <w:r>
        <w:t xml:space="preserve">....................................................</w:t>
      </w:r>
      <w:r>
        <w:t xml:space="preserve">   Dr Marcus Penrose, for and on behalf of the Warrantors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pPr>
    <w:r>
      <w:rPr>
        <w:color w:val="666666"/>
        <w:sz w:val="16"/>
        <w:szCs w:val="16"/>
      </w:rPr>
      <w:t xml:space="preserve">Whitfield Carter LLP | 22 Bishopsgate, London EC2N 4BQ | Confidential</w:t>
    </w:r>
  </w:p>
  <w:p>
    <w:pPr>
      <w:tabs>
        <w:tab w:val="right" w:pos="9026"/>
      </w:tabs>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pBdr>
        <w:bottom w:val="single" w:color="1F3864" w:sz="6" w:space="2"/>
      </w:pBdr>
      <w:jc w:val="right"/>
    </w:pPr>
    <w:r>
      <w:rPr>
        <w:color w:val="666666"/>
        <w:sz w:val="15"/>
        <w:szCs w:val="15"/>
      </w:rPr>
      <w:t xml:space="preserve">22 Bishopsgate, London EC2N 4BQ  ·  +44 (0)20 7946 0011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decimal"/>
      <w:lvlText w:val="%1.%2"/>
      <w:lvlJc w:val="left"/>
      <w:pPr>
        <w:ind w:left="720" w:hanging="480"/>
      </w:pPr>
    </w:lvl>
    <w:lvl w:ilvl="2" w15:tentative="1">
      <w:start w:val="1"/>
      <w:numFmt w:val="lowerLetter"/>
      <w:lvlText w:val="(%3)"/>
      <w:lvlJc w:val="left"/>
      <w:pPr>
        <w:ind w:left="120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2026-06-26T14:11:48.576Z</dcterms:created>
  <dcterms:modified xsi:type="dcterms:W3CDTF">2026-06-26T14:11:48.576Z</dcterms:modified>
</cp:coreProperties>
</file>

<file path=docProps/custom.xml><?xml version="1.0" encoding="utf-8"?>
<Properties xmlns="http://schemas.openxmlformats.org/officeDocument/2006/custom-properties" xmlns:vt="http://schemas.openxmlformats.org/officeDocument/2006/docPropsVTypes"/>
</file>