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color w:val="1F3864"/>
          <w:sz w:val="30"/>
          <w:szCs w:val="30"/>
        </w:rPr>
        <w:t xml:space="preserve">INVESTOR RIGHTS AGREEMENT</w:t>
      </w:r>
    </w:p>
    <w:p>
      <w:pPr>
        <w:spacing w:after="300"/>
        <w:jc w:val="center"/>
      </w:pPr>
      <w:r>
        <w:rPr>
          <w:sz w:val="20"/>
          <w:szCs w:val="20"/>
        </w:rPr>
        <w:t xml:space="preserve">relating to Penrose Robotics Limited (Project Falcon, Series B)</w:t>
      </w:r>
    </w:p>
    <w:p>
      <w:pPr>
        <w:pStyle w:val="Heading1"/>
      </w:pPr>
      <w:r>
        <w:t xml:space="preserve">Parties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Penrose Robotics Limited (the "Company").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Westbridge Growth Capital LLP, as Lead Investor.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Calderbrook Growth Partners LLP and Aldridge Seed LP, as the other Investors.</w:t>
      </w:r>
    </w:p>
    <w:p>
      <w:pPr>
        <w:pStyle w:val="Heading1"/>
      </w:pPr>
      <w:r>
        <w:t xml:space="preserve">Agreed terms</w:t>
      </w:r>
    </w:p>
    <w:p>
      <w:pPr>
        <w:pStyle w:val="Heading2"/>
      </w:pPr>
      <w:r>
        <w:t xml:space="preserve">1.  Pre-emption on new issues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Before issuing any new shares, the Company shall offer them to the holders of Series B Shares pro rata to their existing holdings, on the same terms, save for issues under the option pool and other customary excluded issues.</w:t>
      </w:r>
    </w:p>
    <w:p>
      <w:pPr>
        <w:pStyle w:val="Heading2"/>
      </w:pPr>
      <w:r>
        <w:t xml:space="preserve">2.  Registration / IPO rights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On an initial public offering, the Investors are entitled to customary information and co-operation rights and to participate in any orderly market arrangements on a pro rata basis.</w:t>
      </w:r>
    </w:p>
    <w:p>
      <w:pPr>
        <w:pStyle w:val="Heading2"/>
      </w:pPr>
      <w:r>
        <w:t xml:space="preserve">3.  Anti-dilution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The Series B Shares carry broad-based weighted-average anti-dilution protection consistent with the Articles and the Subscription Agreement.</w:t>
      </w:r>
    </w:p>
    <w:p>
      <w:pPr>
        <w:pStyle w:val="Heading2"/>
      </w:pPr>
      <w:r>
        <w:t xml:space="preserve">4.  Information rights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Each Investor holding not less than 5% of the Series B Shares is entitled to audited accounts, monthly management accounts and the annual budget, and to such other information as it may reasonably require.</w:t>
      </w:r>
    </w:p>
    <w:p>
      <w:pPr>
        <w:pStyle w:val="Heading2"/>
      </w:pPr>
      <w:r>
        <w:t xml:space="preserve">5.  Investor Director and observer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The Lead Investor may appoint the Investor Director (Marcus Pell) and one board observer, who is entitled to receive board papers and attend (but not vote at) board meetings.</w:t>
      </w:r>
    </w:p>
    <w:p>
      <w:pPr>
        <w:pStyle w:val="Heading2"/>
      </w:pPr>
      <w:r>
        <w:t xml:space="preserve">6.  Consent matters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The Company shall not undertake any of the consent matters set out in the Subscription Agreement without the consent of the Investor Majority.</w:t>
      </w:r>
    </w:p>
    <w:p>
      <w:pPr>
        <w:pStyle w:val="Heading2"/>
      </w:pPr>
      <w:r>
        <w:t xml:space="preserve">7.  Drag-along and tag-along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The drag-along and tag-along rights in the Articles apply to all shareholders. On a proposed sale of more than 50% of the equity, dragging shareholders may require the remaining shareholders to sell on the same terms.</w:t>
      </w:r>
    </w:p>
    <w:p>
      <w:pPr>
        <w:pStyle w:val="Heading2"/>
      </w:pPr>
      <w:r>
        <w:t xml:space="preserve">8.  Founder vesting and leaver provisions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Each Founder's shares are subject to good leaver / bad leaver provisions: a bad leaver in the first 24 months from Completion may be required to transfer unvested shares at the lower of cost and fair value.</w:t>
      </w:r>
    </w:p>
    <w:p>
      <w:pPr>
        <w:pStyle w:val="Heading2"/>
      </w:pPr>
      <w:r>
        <w:t xml:space="preserve">9.  Confidentiality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Each party shall keep the terms of this Agreement and the affairs of the Company confidential, subject to customary exceptions.</w:t>
      </w:r>
    </w:p>
    <w:p>
      <w:pPr>
        <w:pStyle w:val="Heading2"/>
      </w:pPr>
      <w:r>
        <w:t xml:space="preserve">10.  Governing law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This Agreement is governed by the law of England and Wales and the parties submit to the exclusive jurisdiction of the courts of England and Wales.</w:t>
      </w:r>
    </w:p>
    <w:p>
      <w:r>
        <w:br w:type="page"/>
      </w:r>
    </w:p>
    <w:p>
      <w:pPr>
        <w:pStyle w:val="Heading1"/>
      </w:pPr>
      <w:r>
        <w:t xml:space="preserve">Execution</w:t>
      </w:r>
    </w:p>
    <w:p>
      <w:pPr>
        <w:spacing w:before="240"/>
      </w:pPr>
      <w:r>
        <w:t xml:space="preserve">....................................................</w:t>
      </w:r>
      <w:r>
        <w:t xml:space="preserve">   Dr Marcus Penrose, Director, for and on behalf of Penrose Robotics Limited</w:t>
      </w:r>
    </w:p>
    <w:p>
      <w:pPr>
        <w:spacing w:before="240"/>
      </w:pPr>
      <w:r>
        <w:t xml:space="preserve">....................................................</w:t>
      </w:r>
      <w:r>
        <w:t xml:space="preserve">   Marcus Pell, Partner, for and on behalf of Westbridge Growth Capital LLP</w:t>
      </w:r>
    </w:p>
    <w:p>
      <w:pPr>
        <w:spacing w:before="240"/>
      </w:pPr>
      <w:r>
        <w:t xml:space="preserve">....................................................</w:t>
      </w:r>
      <w:r>
        <w:t xml:space="preserve">   Authorised signatory, for and on behalf of Calderbrook Growth Partners LLP</w:t>
      </w:r>
    </w:p>
    <w:p>
      <w:pPr>
        <w:spacing w:before="240"/>
      </w:pPr>
      <w:r>
        <w:t xml:space="preserve">....................................................</w:t>
      </w:r>
      <w:r>
        <w:t xml:space="preserve">   Authorised signatory, for and on behalf of Aldridge Seed LP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4"/>
      </w:pBdr>
    </w:pPr>
    <w:r>
      <w:rPr>
        <w:color w:val="666666"/>
        <w:sz w:val="16"/>
        <w:szCs w:val="16"/>
      </w:rPr>
      <w:t xml:space="preserve">Whitfield Carter LLP | 22 Bishopsgate, London EC2N 4BQ | Confidential</w:t>
    </w:r>
  </w:p>
  <w:p>
    <w:pPr>
      <w:tabs>
        <w:tab w:val="right" w:pos="9026"/>
      </w:tabs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  <w:lvl w:ilvl="1" w15:tentative="1">
      <w:start w:val="1"/>
      <w:numFmt w:val="decimal"/>
      <w:lvlText w:val="%1.%2"/>
      <w:lvlJc w:val="left"/>
      <w:pPr>
        <w:ind w:left="720" w:hanging="480"/>
      </w:pPr>
    </w:lvl>
    <w:lvl w:ilvl="2" w15:tentative="1">
      <w:start w:val="1"/>
      <w:numFmt w:val="lowerLetter"/>
      <w:lvlText w:val="(%3)"/>
      <w:lvlJc w:val="left"/>
      <w:pPr>
        <w:ind w:left="120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2026-06-26T14:11:48.544Z</dcterms:created>
  <dcterms:modified xsi:type="dcterms:W3CDTF">2026-06-26T14:11:48.544Z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