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 xml:space="preserve">PROJECT NORTHWIND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COMPLETION CHECKLIST AND DOCUMENT INDEX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Licence of the Helmsman platform — Penrose Robotics Limited / Wexbourne Retail Group Limited</w:t>
      </w:r>
    </w:p>
    <w:p>
      <w:pPr>
        <w:spacing w:after="120" w:line="264"/>
      </w:pPr>
      <w:r>
        <w:rPr>
          <w:b/>
          <w:bCs/>
        </w:rPr>
        <w:t xml:space="preserve">Target completion: </w:t>
      </w:r>
      <w:r>
        <w:t xml:space="preserve">12 January 2026</w:t>
      </w:r>
    </w:p>
    <w:p>
      <w:pPr>
        <w:spacing w:after="120" w:line="264"/>
      </w:pPr>
      <w:r>
        <w:rPr>
          <w:b/>
          <w:bCs/>
        </w:rPr>
        <w:t xml:space="preserve">Prepared by: </w:t>
      </w:r>
      <w:r>
        <w:t xml:space="preserve">Whitfield Carter LLP (SJW/JO/Northwind/00141)</w:t>
      </w:r>
    </w:p>
    <w:p>
      <w:pPr>
        <w:pStyle w:val="Heading1"/>
      </w:pPr>
      <w:r>
        <w:t xml:space="preserve">A. Conditions to completion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3826"/>
        <w:gridCol w:w="2400"/>
        <w:gridCol w:w="22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26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2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  <w:tc>
          <w:tcPr>
            <w:tcW w:type="dxa" w:w="38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approval — Penrose Robotics Limited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Penrose / WC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(8 Jan 2026)</w:t>
            </w:r>
          </w:p>
        </w:tc>
      </w:tr>
      <w:tr>
        <w:trPr>
          <w:tblHeader w:val="false"/>
        </w:trPr>
        <w:tc>
          <w:tcPr>
            <w:tcW w:type="dxa" w:w="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  <w:tc>
          <w:tcPr>
            <w:tcW w:type="dxa" w:w="3826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approval — Wexbourne Retail Group Limited</w:t>
            </w:r>
          </w:p>
        </w:tc>
        <w:tc>
          <w:tcPr>
            <w:tcW w:type="dxa" w:w="24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Wexbourne / Birchall Stone</w:t>
            </w:r>
          </w:p>
        </w:tc>
        <w:tc>
          <w:tcPr>
            <w:tcW w:type="dxa" w:w="22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(9 Jan 2026)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  <w:tc>
          <w:tcPr>
            <w:tcW w:type="dxa" w:w="38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Confirmatory FTO &amp; IP review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WC / Hartington IP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(19 Dec 2025)</w:t>
            </w:r>
          </w:p>
        </w:tc>
      </w:tr>
      <w:tr>
        <w:trPr>
          <w:tblHeader w:val="false"/>
        </w:trPr>
        <w:tc>
          <w:tcPr>
            <w:tcW w:type="dxa" w:w="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A4</w:t>
            </w:r>
          </w:p>
        </w:tc>
        <w:tc>
          <w:tcPr>
            <w:tcW w:type="dxa" w:w="3826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Confirmatory IP assignments from early contractors</w:t>
            </w:r>
          </w:p>
        </w:tc>
        <w:tc>
          <w:tcPr>
            <w:tcW w:type="dxa" w:w="24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Penrose</w:t>
            </w:r>
          </w:p>
        </w:tc>
        <w:tc>
          <w:tcPr>
            <w:tcW w:type="dxa" w:w="22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Outstanding — pre-completion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A5</w:t>
            </w:r>
          </w:p>
        </w:tc>
        <w:tc>
          <w:tcPr>
            <w:tcW w:type="dxa" w:w="38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Agreement of final commercial terms (side letter)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WC / Birchall Stone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</w:tbl>
    <w:p>
      <w:pPr>
        <w:pStyle w:val="Heading1"/>
      </w:pPr>
      <w:r>
        <w:t xml:space="preserve">B. Documents to be executed at completion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3626"/>
        <w:gridCol w:w="3200"/>
        <w:gridCol w:w="16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26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2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Signatories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36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Patent and Software Licence Agreement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Penrose (1 director) / Wexbourne (1 director)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Executed PDF</w:t>
            </w:r>
          </w:p>
        </w:tc>
      </w:tr>
      <w:tr>
        <w:trPr>
          <w:tblHeader w:val="false"/>
        </w:trPr>
        <w:tc>
          <w:tcPr>
            <w:tcW w:type="dxa" w:w="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3626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Code Escrow Agreement</w:t>
            </w:r>
          </w:p>
        </w:tc>
        <w:tc>
          <w:tcPr>
            <w:tcW w:type="dxa" w:w="32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Penrose / Wexbourne / Hexlock Escrow</w:t>
            </w:r>
          </w:p>
        </w:tc>
        <w:tc>
          <w:tcPr>
            <w:tcW w:type="dxa" w:w="1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3-party, PDF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B3</w:t>
            </w:r>
          </w:p>
        </w:tc>
        <w:tc>
          <w:tcPr>
            <w:tcW w:type="dxa" w:w="36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Side Letter (early-adopter pricing)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Penrose CEO / Wexbourne CEO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Counterpart</w:t>
            </w:r>
          </w:p>
        </w:tc>
      </w:tr>
      <w:tr>
        <w:trPr>
          <w:tblHeader w:val="false"/>
        </w:trPr>
        <w:tc>
          <w:tcPr>
            <w:tcW w:type="dxa" w:w="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B4</w:t>
            </w:r>
          </w:p>
        </w:tc>
        <w:tc>
          <w:tcPr>
            <w:tcW w:type="dxa" w:w="3626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Confirmatory contractor IP assignments</w:t>
            </w:r>
          </w:p>
        </w:tc>
        <w:tc>
          <w:tcPr>
            <w:tcW w:type="dxa" w:w="32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Contractors / Penrose</w:t>
            </w:r>
          </w:p>
        </w:tc>
        <w:tc>
          <w:tcPr>
            <w:tcW w:type="dxa" w:w="1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Short-form deeds</w:t>
            </w:r>
          </w:p>
        </w:tc>
      </w:tr>
    </w:tbl>
    <w:p>
      <w:pPr>
        <w:pStyle w:val="Heading1"/>
      </w:pPr>
      <w:r>
        <w:t xml:space="preserve">C. Post-completion steps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3826"/>
        <w:gridCol w:w="2400"/>
        <w:gridCol w:w="22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26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2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38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Deposit Helmsman source code with escrow agent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Penrose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Within 30 days</w:t>
            </w:r>
          </w:p>
        </w:tc>
      </w:tr>
      <w:tr>
        <w:trPr>
          <w:tblHeader w:val="false"/>
        </w:trPr>
        <w:tc>
          <w:tcPr>
            <w:tcW w:type="dxa" w:w="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3826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 Licensed Software available for download</w:t>
            </w:r>
          </w:p>
        </w:tc>
        <w:tc>
          <w:tcPr>
            <w:tcW w:type="dxa" w:w="24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Penrose</w:t>
            </w:r>
          </w:p>
        </w:tc>
        <w:tc>
          <w:tcPr>
            <w:tcW w:type="dxa" w:w="22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Within 10 Business Days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</w:t>
            </w:r>
          </w:p>
        </w:tc>
        <w:tc>
          <w:tcPr>
            <w:tcW w:type="dxa" w:w="38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 up-front licence fee (£3.2m + VAT)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Wexbourne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Within 30 days</w:t>
            </w:r>
          </w:p>
        </w:tc>
      </w:tr>
      <w:tr>
        <w:trPr>
          <w:tblHeader w:val="false"/>
        </w:trPr>
        <w:tc>
          <w:tcPr>
            <w:tcW w:type="dxa" w:w="6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C4</w:t>
            </w:r>
          </w:p>
        </w:tc>
        <w:tc>
          <w:tcPr>
            <w:tcW w:type="dxa" w:w="3826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Begin Phase 1 implementation (Northampton FC)</w:t>
            </w:r>
          </w:p>
        </w:tc>
        <w:tc>
          <w:tcPr>
            <w:tcW w:type="dxa" w:w="24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shd w:fill="F2F4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implementation plan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C5</w:t>
            </w:r>
          </w:p>
        </w:tc>
        <w:tc>
          <w:tcPr>
            <w:tcW w:type="dxa" w:w="38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completion bible / update matter file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WC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Within 14 days</w:t>
            </w:r>
          </w:p>
        </w:tc>
      </w:tr>
    </w:tbl>
    <w:p>
      <w:pPr>
        <w:spacing w:before="160"/>
      </w:pPr>
      <w:r>
        <w:rPr>
          <w:b/>
          <w:bCs/>
        </w:rPr>
        <w:t xml:space="preserve">Note: </w:t>
      </w:r>
      <w:r>
        <w:t xml:space="preserve">Item A4/B4 (confirmatory contractor IP assignments) flagged in the FTO review of 19 December 2025 must be obtained before the licence is dated. Completion may proceed on receipt of executed deeds.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2"/>
      </w:pBdr>
      <w:tabs>
        <w:tab w:val="right" w:pos="9026"/>
      </w:tabs>
    </w:pPr>
    <w:r>
      <w:rPr>
        <w:color w:val="777777"/>
        <w:sz w:val="14"/>
        <w:szCs w:val="14"/>
      </w:rPr>
      <w:t xml:space="preserve">Project Northwind — Completion Checklist   |   Confidential and may be legally privileged.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160"/>
      <w:outlineLvl w:val="1"/>
    </w:pPr>
    <w:rPr>
      <w:rFonts w:ascii="Arial" w:cs="Arial" w:eastAsia="Arial" w:hAnsi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80" w:before="120"/>
      <w:outlineLvl w:val="2"/>
    </w:pPr>
    <w:rPr>
      <w:rFonts w:ascii="Arial" w:cs="Arial" w:eastAsia="Arial" w:hAnsi="Arial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2026-06-26T12:18:20.930Z</dcterms:created>
  <dcterms:modified xsi:type="dcterms:W3CDTF">2026-06-26T12:18:20.930Z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