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0"/>
          <w:szCs w:val="20"/>
        </w:rPr>
        <w:t xml:space="preserve">DATED 9 FEBRUARY 2026</w:t>
      </w:r>
    </w:p>
    <w:p>
      <w:pPr>
        <w:pBdr>
          <w:top w:val="single" w:color="1F3864" w:sz="6" w:space="6"/>
          <w:bottom w:val="single" w:color="1F3864" w:sz="6" w:space="6"/>
        </w:pBdr>
        <w:spacing w:after="120" w:before="200"/>
        <w:jc w:val="center"/>
      </w:pPr>
      <w:r>
        <w:rPr>
          <w:b/>
          <w:bCs/>
          <w:sz w:val="28"/>
          <w:szCs w:val="28"/>
        </w:rPr>
        <w:t xml:space="preserve">SOURCE CODE ESCROW AGREEMENT</w:t>
      </w:r>
    </w:p>
    <w:p>
      <w:pPr>
        <w:spacing w:after="300" w:before="120"/>
        <w:jc w:val="center"/>
      </w:pPr>
      <w:r>
        <w:rPr>
          <w:i/>
          <w:iCs/>
          <w:sz w:val="20"/>
          <w:szCs w:val="20"/>
        </w:rPr>
        <w:t xml:space="preserve">relating to the Helmsman platform (Project Northwind)</w:t>
      </w:r>
    </w:p>
    <w:p>
      <w:pPr>
        <w:jc w:val="center"/>
      </w:pPr>
      <w:r>
        <w:rPr>
          <w:sz w:val="18"/>
          <w:szCs w:val="18"/>
        </w:rPr>
        <w:t xml:space="preserve">PENROSE ROBOTICS LIMITED (Owner)  —  WEXBOURNE RETAIL GROUP LIMITED (Beneficiary)  —  HEXLOCK ESCROW SERVICES LIMITED (Escrow Agent)</w:t>
      </w:r>
    </w:p>
    <w:p>
      <w:r>
        <w:br w:type="page"/>
      </w:r>
    </w:p>
    <w:p>
      <w:pPr>
        <w:spacing w:after="60" w:line="264"/>
      </w:pPr>
      <w:r>
        <w:rPr>
          <w:b/>
          <w:bCs/>
        </w:rPr>
        <w:t xml:space="preserve">PARTIES</w:t>
      </w:r>
    </w:p>
    <w:p>
      <w:pPr>
        <w:tabs>
          <w:tab w:val="left" w:pos="620"/>
        </w:tabs>
        <w:spacing w:after="100" w:line="264"/>
        <w:ind w:left="620" w:hanging="620"/>
      </w:pPr>
      <w:r>
        <w:t xml:space="preserve">(1)	</w:t>
      </w:r>
      <w:r>
        <w:t xml:space="preserve">PENROSE ROBOTICS LIMITED (company no. 09214477) (the "Owner");</w:t>
      </w:r>
    </w:p>
    <w:p>
      <w:pPr>
        <w:tabs>
          <w:tab w:val="left" w:pos="620"/>
        </w:tabs>
        <w:spacing w:after="100" w:line="264"/>
        <w:ind w:left="620" w:hanging="620"/>
      </w:pPr>
      <w:r>
        <w:t xml:space="preserve">(2)	</w:t>
      </w:r>
      <w:r>
        <w:t xml:space="preserve">WEXBOURNE RETAIL GROUP LIMITED (company no. 06677310) (the "Beneficiary"); and</w:t>
      </w:r>
    </w:p>
    <w:p>
      <w:pPr>
        <w:tabs>
          <w:tab w:val="left" w:pos="620"/>
        </w:tabs>
        <w:spacing w:after="100" w:line="264"/>
        <w:ind w:left="620" w:hanging="620"/>
      </w:pPr>
      <w:r>
        <w:t xml:space="preserve">(3)	</w:t>
      </w:r>
      <w:r>
        <w:t xml:space="preserve">HEXLOCK ESCROW SERVICES LIMITED (company no. 04488120) of 1 Finsbury Avenue, London EC2M 2PF (the "Escrow Agent").</w:t>
      </w:r>
    </w:p>
    <w:p>
      <w:pPr>
        <w:spacing w:before="160"/>
      </w:pPr>
      <w:r>
        <w:rPr>
          <w:b/>
          <w:bCs/>
        </w:rPr>
        <w:t xml:space="preserve">BACKGROUND</w:t>
      </w:r>
    </w:p>
    <w:p>
      <w:pPr>
        <w:tabs>
          <w:tab w:val="left" w:pos="620"/>
        </w:tabs>
        <w:spacing w:after="100" w:line="264"/>
        <w:ind w:left="620" w:hanging="620"/>
      </w:pPr>
      <w:r>
        <w:t xml:space="preserve">(A)	</w:t>
      </w:r>
      <w:r>
        <w:t xml:space="preserve">The Owner and the Beneficiary have entered into a Patent and Software Licence Agreement dated 12 January 2026 (the "Licence") under which the Owner has licensed the Helmsman software platform to the Beneficiary.</w:t>
      </w:r>
    </w:p>
    <w:p>
      <w:pPr>
        <w:tabs>
          <w:tab w:val="left" w:pos="620"/>
        </w:tabs>
        <w:spacing w:after="100" w:line="264"/>
        <w:ind w:left="620" w:hanging="620"/>
      </w:pPr>
      <w:r>
        <w:t xml:space="preserve">(B)	</w:t>
      </w:r>
      <w:r>
        <w:t xml:space="preserve">Clause 8 of the Licence requires the Owner to deposit the Source Code of the Helmsman platform into escrow on the terms of this agreement.</w:t>
      </w:r>
    </w:p>
    <w:p>
      <w:pPr>
        <w:spacing w:before="160"/>
      </w:pPr>
      <w:r>
        <w:rPr>
          <w:b/>
          <w:bCs/>
        </w:rPr>
        <w:t xml:space="preserve">AGREED TERMS</w:t>
      </w:r>
    </w:p>
    <w:p>
      <w:pPr>
        <w:keepNext/>
        <w:tabs>
          <w:tab w:val="left" w:pos="620"/>
        </w:tabs>
        <w:spacing w:after="80" w:before="200" w:line="264"/>
      </w:pPr>
      <w:r>
        <w:rPr>
          <w:b/>
          <w:bCs/>
        </w:rPr>
        <w:t xml:space="preserve">1.</w:t>
      </w:r>
      <w:r>
        <w:t xml:space="preserve">	</w:t>
      </w:r>
      <w:r>
        <w:rPr>
          <w:b/>
          <w:bCs/>
        </w:rPr>
        <w:t xml:space="preserve">DEFINITIONS</w:t>
      </w:r>
    </w:p>
    <w:p>
      <w:pPr>
        <w:tabs>
          <w:tab w:val="left" w:pos="620"/>
        </w:tabs>
        <w:spacing w:after="100" w:line="264"/>
        <w:ind w:left="620" w:hanging="620"/>
      </w:pPr>
      <w:r>
        <w:t xml:space="preserve">	</w:t>
      </w:r>
      <w:r>
        <w:rPr>
          <w:b/>
          <w:bCs/>
        </w:rPr>
        <w:t xml:space="preserve">"Deposit Material"</w:t>
      </w:r>
      <w:r>
        <w:t xml:space="preserve"> the Source Code, build instructions, scripts, tools and technical documentation reasonably required to compile, maintain and support the Licensed Software, as listed in Schedule 1.</w:t>
      </w:r>
    </w:p>
    <w:p>
      <w:pPr>
        <w:tabs>
          <w:tab w:val="left" w:pos="620"/>
        </w:tabs>
        <w:spacing w:after="100" w:line="264"/>
        <w:ind w:left="620" w:hanging="620"/>
      </w:pPr>
      <w:r>
        <w:t xml:space="preserve">	</w:t>
      </w:r>
      <w:r>
        <w:rPr>
          <w:b/>
          <w:bCs/>
        </w:rPr>
        <w:t xml:space="preserve">"Full Verification"</w:t>
      </w:r>
      <w:r>
        <w:t xml:space="preserve"> the testing of the Deposit Material by the Escrow Agent to confirm that it can be used to recreate the Licensed Software.</w:t>
      </w:r>
    </w:p>
    <w:p>
      <w:pPr>
        <w:tabs>
          <w:tab w:val="left" w:pos="620"/>
        </w:tabs>
        <w:spacing w:after="100" w:line="264"/>
        <w:ind w:left="620" w:hanging="620"/>
      </w:pPr>
      <w:r>
        <w:t xml:space="preserve">	</w:t>
      </w:r>
      <w:r>
        <w:rPr>
          <w:b/>
          <w:bCs/>
        </w:rPr>
        <w:t xml:space="preserve">"Release Event"</w:t>
      </w:r>
      <w:r>
        <w:t xml:space="preserve"> any of the events listed in clause 6.1.</w:t>
      </w:r>
    </w:p>
    <w:p>
      <w:pPr>
        <w:tabs>
          <w:tab w:val="left" w:pos="620"/>
        </w:tabs>
        <w:spacing w:after="100" w:line="264"/>
        <w:ind w:left="620" w:hanging="620"/>
      </w:pPr>
      <w:r>
        <w:t xml:space="preserve">	</w:t>
      </w:r>
      <w:r>
        <w:rPr>
          <w:b/>
          <w:bCs/>
        </w:rPr>
        <w:t xml:space="preserve">"Source Code"</w:t>
      </w:r>
      <w:r>
        <w:t xml:space="preserve"> has the meaning given in the Licence.</w:t>
      </w:r>
    </w:p>
    <w:p>
      <w:pPr>
        <w:keepNext/>
        <w:tabs>
          <w:tab w:val="left" w:pos="620"/>
        </w:tabs>
        <w:spacing w:after="80" w:before="200" w:line="264"/>
      </w:pPr>
      <w:r>
        <w:rPr>
          <w:b/>
          <w:bCs/>
        </w:rPr>
        <w:t xml:space="preserve">2.</w:t>
      </w:r>
      <w:r>
        <w:t xml:space="preserve">	</w:t>
      </w:r>
      <w:r>
        <w:rPr>
          <w:b/>
          <w:bCs/>
        </w:rPr>
        <w:t xml:space="preserve">DEPOSIT OF MATERIAL</w:t>
      </w:r>
    </w:p>
    <w:p>
      <w:pPr>
        <w:tabs>
          <w:tab w:val="left" w:pos="620"/>
        </w:tabs>
        <w:spacing w:after="100" w:line="264"/>
        <w:ind w:left="620" w:hanging="620"/>
      </w:pPr>
      <w:r>
        <w:t xml:space="preserve">2.1	</w:t>
      </w:r>
      <w:r>
        <w:t xml:space="preserve">The Owner shall deposit the Deposit Material with the Escrow Agent within 30 days after the date of this agreement and shall provide a completed deposit submission form with each deposit.</w:t>
      </w:r>
    </w:p>
    <w:p>
      <w:pPr>
        <w:tabs>
          <w:tab w:val="left" w:pos="620"/>
        </w:tabs>
        <w:spacing w:after="100" w:line="264"/>
        <w:ind w:left="620" w:hanging="620"/>
      </w:pPr>
      <w:r>
        <w:t xml:space="preserve">2.2	</w:t>
      </w:r>
      <w:r>
        <w:t xml:space="preserve">The Owner shall deposit updated Deposit Material within 30 days after the release of any major version of the Licensed Software, and in any event not less than once in every 12 months.</w:t>
      </w:r>
    </w:p>
    <w:p>
      <w:pPr>
        <w:tabs>
          <w:tab w:val="left" w:pos="620"/>
        </w:tabs>
        <w:spacing w:after="100" w:line="264"/>
        <w:ind w:left="620" w:hanging="620"/>
      </w:pPr>
      <w:r>
        <w:t xml:space="preserve">2.3	</w:t>
      </w:r>
      <w:r>
        <w:t xml:space="preserve">The Escrow Agent shall, on receipt, carry out a Level 1 integrity check (media readable, files complete, virus-scanned) and notify the parties of the result.</w:t>
      </w:r>
    </w:p>
    <w:p>
      <w:pPr>
        <w:keepNext/>
        <w:tabs>
          <w:tab w:val="left" w:pos="620"/>
        </w:tabs>
        <w:spacing w:after="80" w:before="200" w:line="264"/>
      </w:pPr>
      <w:r>
        <w:rPr>
          <w:b/>
          <w:bCs/>
        </w:rPr>
        <w:t xml:space="preserve">3.</w:t>
      </w:r>
      <w:r>
        <w:t xml:space="preserve">	</w:t>
      </w:r>
      <w:r>
        <w:rPr>
          <w:b/>
          <w:bCs/>
        </w:rPr>
        <w:t xml:space="preserve">VERIFICATION</w:t>
      </w:r>
    </w:p>
    <w:p>
      <w:pPr>
        <w:tabs>
          <w:tab w:val="left" w:pos="620"/>
        </w:tabs>
        <w:spacing w:after="100" w:line="264"/>
        <w:ind w:left="620" w:hanging="620"/>
      </w:pPr>
      <w:r>
        <w:t xml:space="preserve">3.1	</w:t>
      </w:r>
      <w:r>
        <w:t xml:space="preserve">The Beneficiary may at any time, on payment of the Escrow Agent's applicable fee, request Full Verification of the Deposit Material.</w:t>
      </w:r>
    </w:p>
    <w:p>
      <w:pPr>
        <w:tabs>
          <w:tab w:val="left" w:pos="620"/>
        </w:tabs>
        <w:spacing w:after="100" w:line="264"/>
        <w:ind w:left="620" w:hanging="620"/>
      </w:pPr>
      <w:r>
        <w:t xml:space="preserve">3.2	</w:t>
      </w:r>
      <w:r>
        <w:t xml:space="preserve">The Owner shall provide the Escrow Agent with such reasonable assistance, access and information as is necessary to enable Full Verification to be carried out.</w:t>
      </w:r>
    </w:p>
    <w:p>
      <w:pPr>
        <w:keepNext/>
        <w:tabs>
          <w:tab w:val="left" w:pos="620"/>
        </w:tabs>
        <w:spacing w:after="80" w:before="200" w:line="264"/>
      </w:pPr>
      <w:r>
        <w:rPr>
          <w:b/>
          <w:bCs/>
        </w:rPr>
        <w:t xml:space="preserve">4.</w:t>
      </w:r>
      <w:r>
        <w:t xml:space="preserve">	</w:t>
      </w:r>
      <w:r>
        <w:rPr>
          <w:b/>
          <w:bCs/>
        </w:rPr>
        <w:t xml:space="preserve">OWNERSHIP AND CONFIDENTIALITY</w:t>
      </w:r>
    </w:p>
    <w:p>
      <w:pPr>
        <w:tabs>
          <w:tab w:val="left" w:pos="620"/>
        </w:tabs>
        <w:spacing w:after="100" w:line="264"/>
        <w:ind w:left="620" w:hanging="620"/>
      </w:pPr>
      <w:r>
        <w:t xml:space="preserve">4.1	</w:t>
      </w:r>
      <w:r>
        <w:t xml:space="preserve">Title to and all Intellectual Property Rights in the Deposit Material remain with the Owner at all times.</w:t>
      </w:r>
    </w:p>
    <w:p>
      <w:pPr>
        <w:tabs>
          <w:tab w:val="left" w:pos="620"/>
        </w:tabs>
        <w:spacing w:after="100" w:line="264"/>
        <w:ind w:left="620" w:hanging="620"/>
      </w:pPr>
      <w:r>
        <w:t xml:space="preserve">4.2	</w:t>
      </w:r>
      <w:r>
        <w:t xml:space="preserve">The Escrow Agent shall keep the Deposit Material confidential and secure and shall not release, copy or use it except in accordance with this agreement.</w:t>
      </w:r>
    </w:p>
    <w:p>
      <w:pPr>
        <w:keepNext/>
        <w:tabs>
          <w:tab w:val="left" w:pos="620"/>
        </w:tabs>
        <w:spacing w:after="80" w:before="200" w:line="264"/>
      </w:pPr>
      <w:r>
        <w:rPr>
          <w:b/>
          <w:bCs/>
        </w:rPr>
        <w:t xml:space="preserve">5.</w:t>
      </w:r>
      <w:r>
        <w:t xml:space="preserve">	</w:t>
      </w:r>
      <w:r>
        <w:rPr>
          <w:b/>
          <w:bCs/>
        </w:rPr>
        <w:t xml:space="preserve">INTEGRITY OF DEPOSIT</w:t>
      </w:r>
    </w:p>
    <w:p>
      <w:pPr>
        <w:tabs>
          <w:tab w:val="left" w:pos="620"/>
        </w:tabs>
        <w:spacing w:after="100" w:line="264"/>
        <w:ind w:left="620" w:hanging="620"/>
      </w:pPr>
      <w:r>
        <w:t xml:space="preserve">5.1	</w:t>
      </w:r>
      <w:r>
        <w:t xml:space="preserve">The Owner warrants that the Deposit Material is and will at all times be a true, complete and accurate copy of the Source Code of the then-current version of the Licensed Software.</w:t>
      </w:r>
    </w:p>
    <w:p>
      <w:pPr>
        <w:keepNext/>
        <w:tabs>
          <w:tab w:val="left" w:pos="620"/>
        </w:tabs>
        <w:spacing w:after="80" w:before="200" w:line="264"/>
      </w:pPr>
      <w:r>
        <w:rPr>
          <w:b/>
          <w:bCs/>
        </w:rPr>
        <w:t xml:space="preserve">6.</w:t>
      </w:r>
      <w:r>
        <w:t xml:space="preserve">	</w:t>
      </w:r>
      <w:r>
        <w:rPr>
          <w:b/>
          <w:bCs/>
        </w:rPr>
        <w:t xml:space="preserve">RELEASE EVENTS</w:t>
      </w:r>
    </w:p>
    <w:p>
      <w:pPr>
        <w:tabs>
          <w:tab w:val="left" w:pos="620"/>
        </w:tabs>
        <w:spacing w:after="100" w:line="264"/>
        <w:ind w:left="620" w:hanging="620"/>
      </w:pPr>
      <w:r>
        <w:t xml:space="preserve">6.1	</w:t>
      </w:r>
      <w:r>
        <w:t xml:space="preserve">A Release Event occurs if:</w:t>
      </w:r>
    </w:p>
    <w:p>
      <w:pPr>
        <w:tabs>
          <w:tab w:val="left" w:pos="1240"/>
        </w:tabs>
        <w:spacing w:after="100" w:line="264"/>
        <w:ind w:left="1240" w:hanging="620"/>
      </w:pPr>
      <w:r>
        <w:t xml:space="preserve">(a)	</w:t>
      </w:r>
      <w:r>
        <w:t xml:space="preserve">the Owner enters administration, liquidation or any analogous insolvency procedure, or ceases to carry on its business;</w:t>
      </w:r>
    </w:p>
    <w:p>
      <w:pPr>
        <w:tabs>
          <w:tab w:val="left" w:pos="1240"/>
        </w:tabs>
        <w:spacing w:after="100" w:line="264"/>
        <w:ind w:left="1240" w:hanging="620"/>
      </w:pPr>
      <w:r>
        <w:t xml:space="preserve">(b)	</w:t>
      </w:r>
      <w:r>
        <w:t xml:space="preserve">the Owner has ceased to maintain or support the Licensed Software in breach of the Licence and has not remedied that breach within 30 days after written notice; or</w:t>
      </w:r>
    </w:p>
    <w:p>
      <w:pPr>
        <w:tabs>
          <w:tab w:val="left" w:pos="1240"/>
        </w:tabs>
        <w:spacing w:after="100" w:line="264"/>
        <w:ind w:left="1240" w:hanging="620"/>
      </w:pPr>
      <w:r>
        <w:t xml:space="preserve">(c)	</w:t>
      </w:r>
      <w:r>
        <w:t xml:space="preserve">the Owner assigns the Licence to a third party who fails to assume the Owner's support obligations.</w:t>
      </w:r>
    </w:p>
    <w:p>
      <w:pPr>
        <w:tabs>
          <w:tab w:val="left" w:pos="620"/>
        </w:tabs>
        <w:spacing w:after="100" w:line="264"/>
        <w:ind w:left="620" w:hanging="620"/>
      </w:pPr>
      <w:r>
        <w:t xml:space="preserve">6.2	</w:t>
      </w:r>
      <w:r>
        <w:t xml:space="preserve">The Beneficiary may apply to the Escrow Agent for release of the Deposit Material by giving written notice, with supporting evidence, of the Release Event.</w:t>
      </w:r>
    </w:p>
    <w:p>
      <w:pPr>
        <w:tabs>
          <w:tab w:val="left" w:pos="620"/>
        </w:tabs>
        <w:spacing w:after="100" w:line="264"/>
        <w:ind w:left="620" w:hanging="620"/>
      </w:pPr>
      <w:r>
        <w:t xml:space="preserve">6.3	</w:t>
      </w:r>
      <w:r>
        <w:t xml:space="preserve">The Escrow Agent shall give the Owner 14 days to file a counter-notice disputing the Release Event. If a counter-notice is filed, the Escrow Agent shall not release the Deposit Material until the dispute is resolved under clause 9.</w:t>
      </w:r>
    </w:p>
    <w:p>
      <w:pPr>
        <w:keepNext/>
        <w:tabs>
          <w:tab w:val="left" w:pos="620"/>
        </w:tabs>
        <w:spacing w:after="80" w:before="200" w:line="264"/>
      </w:pPr>
      <w:r>
        <w:rPr>
          <w:b/>
          <w:bCs/>
        </w:rPr>
        <w:t xml:space="preserve">7.</w:t>
      </w:r>
      <w:r>
        <w:t xml:space="preserve">	</w:t>
      </w:r>
      <w:r>
        <w:rPr>
          <w:b/>
          <w:bCs/>
        </w:rPr>
        <w:t xml:space="preserve">BENEFICIARY'S RIGHTS ON RELEASE</w:t>
      </w:r>
    </w:p>
    <w:p>
      <w:pPr>
        <w:tabs>
          <w:tab w:val="left" w:pos="620"/>
        </w:tabs>
        <w:spacing w:after="100" w:line="264"/>
        <w:ind w:left="620" w:hanging="620"/>
      </w:pPr>
      <w:r>
        <w:t xml:space="preserve">7.1	</w:t>
      </w:r>
      <w:r>
        <w:t xml:space="preserve">On release of the Deposit Material, the Beneficiary is granted a non-exclusive, non-transferable licence to use the Source Code solely to maintain and support the Licensed Software for its own internal use in the Field for the remainder of the term of the Licence, and for no other purpose.</w:t>
      </w:r>
    </w:p>
    <w:p>
      <w:pPr>
        <w:tabs>
          <w:tab w:val="left" w:pos="620"/>
        </w:tabs>
        <w:spacing w:after="100" w:line="264"/>
        <w:ind w:left="620" w:hanging="620"/>
      </w:pPr>
      <w:r>
        <w:t xml:space="preserve">7.2	</w:t>
      </w:r>
      <w:r>
        <w:t xml:space="preserve">The Beneficiary shall keep the released Source Code confidential and shall not disclose it to any third party other than a contractor bound by equivalent confidentiality obligations.</w:t>
      </w:r>
    </w:p>
    <w:p>
      <w:pPr>
        <w:keepNext/>
        <w:tabs>
          <w:tab w:val="left" w:pos="620"/>
        </w:tabs>
        <w:spacing w:after="80" w:before="200" w:line="264"/>
      </w:pPr>
      <w:r>
        <w:rPr>
          <w:b/>
          <w:bCs/>
        </w:rPr>
        <w:t xml:space="preserve">8.</w:t>
      </w:r>
      <w:r>
        <w:t xml:space="preserve">	</w:t>
      </w:r>
      <w:r>
        <w:rPr>
          <w:b/>
          <w:bCs/>
        </w:rPr>
        <w:t xml:space="preserve">FEES</w:t>
      </w:r>
    </w:p>
    <w:p>
      <w:pPr>
        <w:tabs>
          <w:tab w:val="left" w:pos="620"/>
        </w:tabs>
        <w:spacing w:after="100" w:line="264"/>
        <w:ind w:left="620" w:hanging="620"/>
      </w:pPr>
      <w:r>
        <w:t xml:space="preserve">8.1	</w:t>
      </w:r>
      <w:r>
        <w:t xml:space="preserve">The Escrow Agent's fees are set out in Schedule 2 and shall be borne equally by the Owner and the Beneficiary, save that the cost of any Full Verification requested by the Beneficiary shall be borne by the Beneficiary.</w:t>
      </w:r>
    </w:p>
    <w:p>
      <w:pPr>
        <w:keepNext/>
        <w:tabs>
          <w:tab w:val="left" w:pos="620"/>
        </w:tabs>
        <w:spacing w:after="80" w:before="200" w:line="264"/>
      </w:pPr>
      <w:r>
        <w:rPr>
          <w:b/>
          <w:bCs/>
        </w:rPr>
        <w:t xml:space="preserve">9.</w:t>
      </w:r>
      <w:r>
        <w:t xml:space="preserve">	</w:t>
      </w:r>
      <w:r>
        <w:rPr>
          <w:b/>
          <w:bCs/>
        </w:rPr>
        <w:t xml:space="preserve">DISPUTES, LIABILITY AND TERM</w:t>
      </w:r>
    </w:p>
    <w:p>
      <w:pPr>
        <w:tabs>
          <w:tab w:val="left" w:pos="620"/>
        </w:tabs>
        <w:spacing w:after="100" w:line="264"/>
        <w:ind w:left="620" w:hanging="620"/>
      </w:pPr>
      <w:r>
        <w:t xml:space="preserve">9.1	</w:t>
      </w:r>
      <w:r>
        <w:t xml:space="preserve">Any dispute as to whether a Release Event has occurred shall be referred to an independent expert appointed by the parties or, failing agreement, by the President of the British Computer Society, whose decision shall be final and binding.</w:t>
      </w:r>
    </w:p>
    <w:p>
      <w:pPr>
        <w:tabs>
          <w:tab w:val="left" w:pos="620"/>
        </w:tabs>
        <w:spacing w:after="100" w:line="264"/>
        <w:ind w:left="620" w:hanging="620"/>
      </w:pPr>
      <w:r>
        <w:t xml:space="preserve">9.2	</w:t>
      </w:r>
      <w:r>
        <w:t xml:space="preserve">The Escrow Agent's total liability under this agreement shall not exceed five times the annual escrow fee, save in respect of its own fraud or wilful default.</w:t>
      </w:r>
    </w:p>
    <w:p>
      <w:pPr>
        <w:tabs>
          <w:tab w:val="left" w:pos="620"/>
        </w:tabs>
        <w:spacing w:after="100" w:line="264"/>
        <w:ind w:left="620" w:hanging="620"/>
      </w:pPr>
      <w:r>
        <w:t xml:space="preserve">9.3	</w:t>
      </w:r>
      <w:r>
        <w:t xml:space="preserve">This agreement continues for so long as the Licence remains in force and terminates automatically on expiry or termination of the Licence.</w:t>
      </w:r>
    </w:p>
    <w:p>
      <w:pPr>
        <w:tabs>
          <w:tab w:val="left" w:pos="620"/>
        </w:tabs>
        <w:spacing w:after="100" w:line="264"/>
        <w:ind w:left="620" w:hanging="620"/>
      </w:pPr>
      <w:r>
        <w:t xml:space="preserve">9.4	</w:t>
      </w:r>
      <w:r>
        <w:t xml:space="preserve">This agreement is governed by the law of England and Wales and the parties submit to the exclusive jurisdiction of the courts of England and Wales.</w:t>
      </w:r>
    </w:p>
    <w:p>
      <w:pPr>
        <w:pStyle w:val="Heading1"/>
        <w:pageBreakBefore/>
      </w:pPr>
      <w:r>
        <w:t xml:space="preserve">SCHEDULE 1 — DEPOSIT MATERIAL</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600"/>
        <w:gridCol w:w="6426"/>
      </w:tblGrid>
      <w:tr>
        <w:trPr>
          <w:tblHeader/>
        </w:trPr>
        <w:tc>
          <w:tcPr>
            <w:tcW w:type="dxa" w:w="2600"/>
            <w:shd w:fill="1F3864" w:val="clear"/>
            <w:tcMar>
              <w:top w:type="dxa" w:w="50"/>
              <w:left w:type="dxa" w:w="110"/>
              <w:bottom w:type="dxa" w:w="50"/>
              <w:right w:type="dxa" w:w="110"/>
            </w:tcMar>
          </w:tcPr>
          <w:p>
            <w:pPr>
              <w:spacing w:after="0" w:line="252"/>
            </w:pPr>
            <w:r>
              <w:rPr>
                <w:b/>
                <w:bCs/>
                <w:color w:val="FFFFFF"/>
                <w:sz w:val="19"/>
                <w:szCs w:val="19"/>
              </w:rPr>
              <w:t xml:space="preserve">Item</w:t>
            </w:r>
          </w:p>
        </w:tc>
        <w:tc>
          <w:tcPr>
            <w:tcW w:type="dxa" w:w="6426"/>
            <w:shd w:fill="1F3864" w:val="clear"/>
            <w:tcMar>
              <w:top w:type="dxa" w:w="50"/>
              <w:left w:type="dxa" w:w="110"/>
              <w:bottom w:type="dxa" w:w="50"/>
              <w:right w:type="dxa" w:w="110"/>
            </w:tcMar>
          </w:tcPr>
          <w:p>
            <w:pPr>
              <w:spacing w:after="0" w:line="252"/>
            </w:pPr>
            <w:r>
              <w:rPr>
                <w:b/>
                <w:bCs/>
                <w:color w:val="FFFFFF"/>
                <w:sz w:val="19"/>
                <w:szCs w:val="19"/>
              </w:rPr>
              <w:t xml:space="preserve">Description</w:t>
            </w:r>
          </w:p>
        </w:tc>
      </w:tr>
      <w:tr>
        <w:trPr>
          <w:tblHeader w:val="false"/>
        </w:trPr>
        <w:tc>
          <w:tcPr>
            <w:tcW w:type="dxa" w:w="2600"/>
            <w:tcMar>
              <w:top w:type="dxa" w:w="50"/>
              <w:left w:type="dxa" w:w="110"/>
              <w:bottom w:type="dxa" w:w="50"/>
              <w:right w:type="dxa" w:w="110"/>
            </w:tcMar>
          </w:tcPr>
          <w:p>
            <w:pPr>
              <w:spacing w:after="0" w:line="252"/>
            </w:pPr>
            <w:r>
              <w:rPr>
                <w:b w:val="false"/>
                <w:bCs w:val="false"/>
                <w:color w:val="000000"/>
                <w:sz w:val="19"/>
                <w:szCs w:val="19"/>
              </w:rPr>
              <w:t xml:space="preserve">Source repositories</w:t>
            </w:r>
          </w:p>
        </w:tc>
        <w:tc>
          <w:tcPr>
            <w:tcW w:type="dxa" w:w="6426"/>
            <w:tcMar>
              <w:top w:type="dxa" w:w="50"/>
              <w:left w:type="dxa" w:w="110"/>
              <w:bottom w:type="dxa" w:w="50"/>
              <w:right w:type="dxa" w:w="110"/>
            </w:tcMar>
          </w:tcPr>
          <w:p>
            <w:pPr>
              <w:spacing w:after="0" w:line="252"/>
            </w:pPr>
            <w:r>
              <w:rPr>
                <w:b w:val="false"/>
                <w:bCs w:val="false"/>
                <w:color w:val="000000"/>
                <w:sz w:val="19"/>
                <w:szCs w:val="19"/>
              </w:rPr>
              <w:t xml:space="preserve">helmsman-core, helmsman-navigate, helmsman-perceive, helmsman-charge, helmsman-console, helmsman-api (Git bundles, tagged release v4.2.0)</w:t>
            </w:r>
          </w:p>
        </w:tc>
      </w:tr>
      <w:tr>
        <w:trPr>
          <w:tblHeader w:val="false"/>
        </w:trPr>
        <w:tc>
          <w:tcPr>
            <w:tcW w:type="dxa" w:w="2600"/>
            <w:shd w:fill="F2F4F8" w:val="clear"/>
            <w:tcMar>
              <w:top w:type="dxa" w:w="50"/>
              <w:left w:type="dxa" w:w="110"/>
              <w:bottom w:type="dxa" w:w="50"/>
              <w:right w:type="dxa" w:w="110"/>
            </w:tcMar>
          </w:tcPr>
          <w:p>
            <w:pPr>
              <w:spacing w:after="0" w:line="252"/>
            </w:pPr>
            <w:r>
              <w:rPr>
                <w:b w:val="false"/>
                <w:bCs w:val="false"/>
                <w:color w:val="000000"/>
                <w:sz w:val="19"/>
                <w:szCs w:val="19"/>
              </w:rPr>
              <w:t xml:space="preserve">Build toolchain</w:t>
            </w:r>
          </w:p>
        </w:tc>
        <w:tc>
          <w:tcPr>
            <w:tcW w:type="dxa" w:w="6426"/>
            <w:shd w:fill="F2F4F8" w:val="clear"/>
            <w:tcMar>
              <w:top w:type="dxa" w:w="50"/>
              <w:left w:type="dxa" w:w="110"/>
              <w:bottom w:type="dxa" w:w="50"/>
              <w:right w:type="dxa" w:w="110"/>
            </w:tcMar>
          </w:tcPr>
          <w:p>
            <w:pPr>
              <w:spacing w:after="0" w:line="252"/>
            </w:pPr>
            <w:r>
              <w:rPr>
                <w:b w:val="false"/>
                <w:bCs w:val="false"/>
                <w:color w:val="000000"/>
                <w:sz w:val="19"/>
                <w:szCs w:val="19"/>
              </w:rPr>
              <w:t xml:space="preserve">Bazel build files, container definitions, signed dependency manifest</w:t>
            </w:r>
          </w:p>
        </w:tc>
      </w:tr>
      <w:tr>
        <w:trPr>
          <w:tblHeader w:val="false"/>
        </w:trPr>
        <w:tc>
          <w:tcPr>
            <w:tcW w:type="dxa" w:w="2600"/>
            <w:tcMar>
              <w:top w:type="dxa" w:w="50"/>
              <w:left w:type="dxa" w:w="110"/>
              <w:bottom w:type="dxa" w:w="50"/>
              <w:right w:type="dxa" w:w="110"/>
            </w:tcMar>
          </w:tcPr>
          <w:p>
            <w:pPr>
              <w:spacing w:after="0" w:line="252"/>
            </w:pPr>
            <w:r>
              <w:rPr>
                <w:b w:val="false"/>
                <w:bCs w:val="false"/>
                <w:color w:val="000000"/>
                <w:sz w:val="19"/>
                <w:szCs w:val="19"/>
              </w:rPr>
              <w:t xml:space="preserve">Documentation</w:t>
            </w:r>
          </w:p>
        </w:tc>
        <w:tc>
          <w:tcPr>
            <w:tcW w:type="dxa" w:w="6426"/>
            <w:tcMar>
              <w:top w:type="dxa" w:w="50"/>
              <w:left w:type="dxa" w:w="110"/>
              <w:bottom w:type="dxa" w:w="50"/>
              <w:right w:type="dxa" w:w="110"/>
            </w:tcMar>
          </w:tcPr>
          <w:p>
            <w:pPr>
              <w:spacing w:after="0" w:line="252"/>
            </w:pPr>
            <w:r>
              <w:rPr>
                <w:b w:val="false"/>
                <w:bCs w:val="false"/>
                <w:color w:val="000000"/>
                <w:sz w:val="19"/>
                <w:szCs w:val="19"/>
              </w:rPr>
              <w:t xml:space="preserve">Architecture overview, build &amp; deployment guide, module READMEs</w:t>
            </w:r>
          </w:p>
        </w:tc>
      </w:tr>
      <w:tr>
        <w:trPr>
          <w:tblHeader w:val="false"/>
        </w:trPr>
        <w:tc>
          <w:tcPr>
            <w:tcW w:type="dxa" w:w="2600"/>
            <w:shd w:fill="F2F4F8" w:val="clear"/>
            <w:tcMar>
              <w:top w:type="dxa" w:w="50"/>
              <w:left w:type="dxa" w:w="110"/>
              <w:bottom w:type="dxa" w:w="50"/>
              <w:right w:type="dxa" w:w="110"/>
            </w:tcMar>
          </w:tcPr>
          <w:p>
            <w:pPr>
              <w:spacing w:after="0" w:line="252"/>
            </w:pPr>
            <w:r>
              <w:rPr>
                <w:b w:val="false"/>
                <w:bCs w:val="false"/>
                <w:color w:val="000000"/>
                <w:sz w:val="19"/>
                <w:szCs w:val="19"/>
              </w:rPr>
              <w:t xml:space="preserve">Credentials</w:t>
            </w:r>
          </w:p>
        </w:tc>
        <w:tc>
          <w:tcPr>
            <w:tcW w:type="dxa" w:w="6426"/>
            <w:shd w:fill="F2F4F8" w:val="clear"/>
            <w:tcMar>
              <w:top w:type="dxa" w:w="50"/>
              <w:left w:type="dxa" w:w="110"/>
              <w:bottom w:type="dxa" w:w="50"/>
              <w:right w:type="dxa" w:w="110"/>
            </w:tcMar>
          </w:tcPr>
          <w:p>
            <w:pPr>
              <w:spacing w:after="0" w:line="252"/>
            </w:pPr>
            <w:r>
              <w:rPr>
                <w:b w:val="false"/>
                <w:bCs w:val="false"/>
                <w:color w:val="000000"/>
                <w:sz w:val="19"/>
                <w:szCs w:val="19"/>
              </w:rPr>
              <w:t xml:space="preserve">Sealed envelope: signing keys and artefact-registry references</w:t>
            </w:r>
          </w:p>
        </w:tc>
      </w:tr>
    </w:tbl>
    <w:p>
      <w:pPr>
        <w:pStyle w:val="Heading1"/>
        <w:spacing w:before="240"/>
      </w:pPr>
      <w:r>
        <w:t xml:space="preserve">SCHEDULE 2 — FEES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5600"/>
        <w:gridCol w:w="3426"/>
      </w:tblGrid>
      <w:tr>
        <w:trPr>
          <w:tblHeader/>
        </w:trPr>
        <w:tc>
          <w:tcPr>
            <w:tcW w:type="dxa" w:w="5600"/>
            <w:shd w:fill="1F3864" w:val="clear"/>
            <w:tcMar>
              <w:top w:type="dxa" w:w="50"/>
              <w:left w:type="dxa" w:w="110"/>
              <w:bottom w:type="dxa" w:w="50"/>
              <w:right w:type="dxa" w:w="110"/>
            </w:tcMar>
          </w:tcPr>
          <w:p>
            <w:pPr>
              <w:spacing w:after="0" w:line="252"/>
            </w:pPr>
            <w:r>
              <w:rPr>
                <w:b/>
                <w:bCs/>
                <w:color w:val="FFFFFF"/>
                <w:sz w:val="19"/>
                <w:szCs w:val="19"/>
              </w:rPr>
              <w:t xml:space="preserve">Service</w:t>
            </w:r>
          </w:p>
        </w:tc>
        <w:tc>
          <w:tcPr>
            <w:tcW w:type="dxa" w:w="3426"/>
            <w:shd w:fill="1F3864" w:val="clear"/>
            <w:tcMar>
              <w:top w:type="dxa" w:w="50"/>
              <w:left w:type="dxa" w:w="110"/>
              <w:bottom w:type="dxa" w:w="50"/>
              <w:right w:type="dxa" w:w="110"/>
            </w:tcMar>
          </w:tcPr>
          <w:p>
            <w:pPr>
              <w:spacing w:after="0" w:line="252"/>
              <w:jc w:val="right"/>
            </w:pPr>
            <w:r>
              <w:rPr>
                <w:b/>
                <w:bCs/>
                <w:color w:val="FFFFFF"/>
                <w:sz w:val="19"/>
                <w:szCs w:val="19"/>
              </w:rPr>
              <w:t xml:space="preserve">Fee (per annum, exc. VAT)</w:t>
            </w:r>
          </w:p>
        </w:tc>
      </w:tr>
      <w:tr>
        <w:trPr>
          <w:tblHeader w:val="false"/>
        </w:trPr>
        <w:tc>
          <w:tcPr>
            <w:tcW w:type="dxa" w:w="5600"/>
            <w:tcMar>
              <w:top w:type="dxa" w:w="50"/>
              <w:left w:type="dxa" w:w="110"/>
              <w:bottom w:type="dxa" w:w="50"/>
              <w:right w:type="dxa" w:w="110"/>
            </w:tcMar>
          </w:tcPr>
          <w:p>
            <w:pPr>
              <w:spacing w:after="0" w:line="252"/>
            </w:pPr>
            <w:r>
              <w:rPr>
                <w:b w:val="false"/>
                <w:bCs w:val="false"/>
                <w:color w:val="000000"/>
                <w:sz w:val="19"/>
                <w:szCs w:val="19"/>
              </w:rPr>
              <w:t xml:space="preserve">Standard escrow account &amp; annual storage</w:t>
            </w:r>
          </w:p>
        </w:tc>
        <w:tc>
          <w:tcPr>
            <w:tcW w:type="dxa" w:w="3426"/>
            <w:tcMar>
              <w:top w:type="dxa" w:w="50"/>
              <w:left w:type="dxa" w:w="110"/>
              <w:bottom w:type="dxa" w:w="50"/>
              <w:right w:type="dxa" w:w="110"/>
            </w:tcMar>
          </w:tcPr>
          <w:p>
            <w:pPr>
              <w:spacing w:after="0" w:line="252"/>
              <w:jc w:val="right"/>
            </w:pPr>
            <w:r>
              <w:rPr>
                <w:b w:val="false"/>
                <w:bCs w:val="false"/>
                <w:color w:val="000000"/>
                <w:sz w:val="19"/>
                <w:szCs w:val="19"/>
              </w:rPr>
              <w:t xml:space="preserve">£3,600</w:t>
            </w:r>
          </w:p>
        </w:tc>
      </w:tr>
      <w:tr>
        <w:trPr>
          <w:tblHeader w:val="false"/>
        </w:trPr>
        <w:tc>
          <w:tcPr>
            <w:tcW w:type="dxa" w:w="5600"/>
            <w:shd w:fill="F2F4F8" w:val="clear"/>
            <w:tcMar>
              <w:top w:type="dxa" w:w="50"/>
              <w:left w:type="dxa" w:w="110"/>
              <w:bottom w:type="dxa" w:w="50"/>
              <w:right w:type="dxa" w:w="110"/>
            </w:tcMar>
          </w:tcPr>
          <w:p>
            <w:pPr>
              <w:spacing w:after="0" w:line="252"/>
            </w:pPr>
            <w:r>
              <w:rPr>
                <w:b w:val="false"/>
                <w:bCs w:val="false"/>
                <w:color w:val="000000"/>
                <w:sz w:val="19"/>
                <w:szCs w:val="19"/>
              </w:rPr>
              <w:t xml:space="preserve">Each deposit lodgement (Level 1 check)</w:t>
            </w:r>
          </w:p>
        </w:tc>
        <w:tc>
          <w:tcPr>
            <w:tcW w:type="dxa" w:w="3426"/>
            <w:shd w:fill="F2F4F8" w:val="clear"/>
            <w:tcMar>
              <w:top w:type="dxa" w:w="50"/>
              <w:left w:type="dxa" w:w="110"/>
              <w:bottom w:type="dxa" w:w="50"/>
              <w:right w:type="dxa" w:w="110"/>
            </w:tcMar>
          </w:tcPr>
          <w:p>
            <w:pPr>
              <w:spacing w:after="0" w:line="252"/>
              <w:jc w:val="right"/>
            </w:pPr>
            <w:r>
              <w:rPr>
                <w:b w:val="false"/>
                <w:bCs w:val="false"/>
                <w:color w:val="000000"/>
                <w:sz w:val="19"/>
                <w:szCs w:val="19"/>
              </w:rPr>
              <w:t xml:space="preserve">£450</w:t>
            </w:r>
          </w:p>
        </w:tc>
      </w:tr>
      <w:tr>
        <w:trPr>
          <w:tblHeader w:val="false"/>
        </w:trPr>
        <w:tc>
          <w:tcPr>
            <w:tcW w:type="dxa" w:w="5600"/>
            <w:tcMar>
              <w:top w:type="dxa" w:w="50"/>
              <w:left w:type="dxa" w:w="110"/>
              <w:bottom w:type="dxa" w:w="50"/>
              <w:right w:type="dxa" w:w="110"/>
            </w:tcMar>
          </w:tcPr>
          <w:p>
            <w:pPr>
              <w:spacing w:after="0" w:line="252"/>
            </w:pPr>
            <w:r>
              <w:rPr>
                <w:b w:val="false"/>
                <w:bCs w:val="false"/>
                <w:color w:val="000000"/>
                <w:sz w:val="19"/>
                <w:szCs w:val="19"/>
              </w:rPr>
              <w:t xml:space="preserve">Full Verification (on request)</w:t>
            </w:r>
          </w:p>
        </w:tc>
        <w:tc>
          <w:tcPr>
            <w:tcW w:type="dxa" w:w="3426"/>
            <w:tcMar>
              <w:top w:type="dxa" w:w="50"/>
              <w:left w:type="dxa" w:w="110"/>
              <w:bottom w:type="dxa" w:w="50"/>
              <w:right w:type="dxa" w:w="110"/>
            </w:tcMar>
          </w:tcPr>
          <w:p>
            <w:pPr>
              <w:spacing w:after="0" w:line="252"/>
              <w:jc w:val="right"/>
            </w:pPr>
            <w:r>
              <w:rPr>
                <w:b w:val="false"/>
                <w:bCs w:val="false"/>
                <w:color w:val="000000"/>
                <w:sz w:val="19"/>
                <w:szCs w:val="19"/>
              </w:rPr>
              <w:t xml:space="preserve">£8,500</w:t>
            </w:r>
          </w:p>
        </w:tc>
      </w:tr>
    </w:tbl>
    <w:p>
      <w:pPr>
        <w:spacing w:before="300"/>
      </w:pPr>
      <w:r>
        <w:rPr>
          <w:i/>
          <w:iCs/>
        </w:rPr>
        <w:t xml:space="preserve">Signed by the parties on the date stated above.</w:t>
      </w:r>
    </w:p>
    <w:p>
      <w:pPr>
        <w:spacing w:before="200"/>
      </w:pPr>
      <w:r>
        <w:t xml:space="preserve">Owner: ...........................  Beneficiary: ...........................  Escrow Agent: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tabs>
        <w:tab w:val="right" w:pos="9026"/>
      </w:tabs>
    </w:pPr>
    <w:r>
      <w:rPr>
        <w:color w:val="777777"/>
        <w:sz w:val="14"/>
        <w:szCs w:val="14"/>
      </w:rPr>
      <w:t xml:space="preserve">Project Northwind — Source Code Escrow Agreement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sz w:val="24"/>
      <w:szCs w:val="24"/>
    </w:rPr>
  </w:style>
  <w:style w:type="paragraph" w:styleId="Heading2">
    <w:name w:val="Heading 2"/>
    <w:basedOn w:val="Normal"/>
    <w:next w:val="Normal"/>
    <w:qFormat/>
    <w:pPr>
      <w:keepNext/>
      <w:spacing w:after="100" w:before="160"/>
      <w:outlineLvl w:val="1"/>
    </w:pPr>
    <w:rPr>
      <w:rFonts w:ascii="Arial" w:cs="Arial" w:eastAsia="Arial" w:hAnsi="Arial"/>
      <w:b/>
      <w:bCs/>
      <w:sz w:val="22"/>
      <w:szCs w:val="22"/>
    </w:rPr>
  </w:style>
  <w:style w:type="paragraph" w:styleId="Heading3">
    <w:name w:val="Heading 3"/>
    <w:basedOn w:val="Normal"/>
    <w:next w:val="Normal"/>
    <w:qFormat/>
    <w:pPr>
      <w:keepNext/>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2026-06-26T12:14:38.099Z</dcterms:created>
  <dcterms:modified xsi:type="dcterms:W3CDTF">2026-06-26T12:14:38.100Z</dcterms:modified>
</cp:coreProperties>
</file>

<file path=docProps/custom.xml><?xml version="1.0" encoding="utf-8"?>
<Properties xmlns="http://schemas.openxmlformats.org/officeDocument/2006/custom-properties" xmlns:vt="http://schemas.openxmlformats.org/officeDocument/2006/docPropsVTypes"/>
</file>