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HEADS OF TERMS</w:t>
      </w:r>
    </w:p>
    <w:p>
      <w:pPr>
        <w:spacing w:after="40"/>
        <w:jc w:val="center"/>
      </w:pPr>
      <w:r>
        <w:rPr>
          <w:b/>
          <w:bCs/>
          <w:color w:val="1F3864"/>
          <w:sz w:val="22"/>
          <w:szCs w:val="22"/>
        </w:rPr>
        <w:t xml:space="preserve">Project Northwind</w:t>
      </w:r>
    </w:p>
    <w:p>
      <w:pPr>
        <w:spacing w:after="200"/>
        <w:jc w:val="center"/>
      </w:pPr>
      <w:r>
        <w:rPr>
          <w:i/>
          <w:iCs/>
          <w:sz w:val="20"/>
          <w:szCs w:val="20"/>
        </w:rPr>
        <w:t xml:space="preserve">Licence of the Penrose “Helmsman” autonomous navigation and fleet-orchestration platform</w:t>
      </w:r>
    </w:p>
    <w:p>
      <w:pPr>
        <w:spacing w:after="120" w:line="264"/>
      </w:pPr>
      <w:r>
        <w:rPr>
          <w:b/>
          <w:bCs/>
        </w:rPr>
        <w:t xml:space="preserve">Date: </w:t>
      </w:r>
      <w:r>
        <w:t xml:space="preserve">17 November 2025</w:t>
      </w:r>
    </w:p>
    <w:p>
      <w:pPr>
        <w:spacing w:after="120" w:line="264"/>
      </w:pPr>
      <w:r>
        <w:rPr>
          <w:b/>
          <w:bCs/>
        </w:rPr>
        <w:t xml:space="preserve">Status: </w:t>
      </w:r>
      <w:r>
        <w:t xml:space="preserve">Subject to contract and to board approval. Save for paragraphs 11 (Exclusivity), 12 (Confidentiality) and 13 (Costs), these heads of terms are not intended to be legally binding.</w:t>
      </w:r>
    </w:p>
    <w:p>
      <w:pPr>
        <w:pStyle w:val="Heading2"/>
      </w:pPr>
      <w:r>
        <w:t xml:space="preserve">1. Parties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2600"/>
        <w:gridCol w:w="6426"/>
      </w:tblGrid>
      <w:tr>
        <w:trPr>
          <w:tblHeader/>
        </w:trPr>
        <w:tc>
          <w:tcPr>
            <w:tcW w:type="dxa" w:w="2600"/>
            <w:shd w:fill="1F3864" w:val="clear"/>
            <w:tcMar>
              <w:top w:type="dxa" w:w="50"/>
              <w:left w:type="dxa" w:w="110"/>
              <w:bottom w:type="dxa" w:w="50"/>
              <w:right w:type="dxa" w:w="110"/>
            </w:tcMar>
          </w:tcPr>
          <w:p>
            <w:pPr>
              <w:spacing w:after="0" w:line="252"/>
            </w:pPr>
            <w:r>
              <w:rPr>
                <w:b/>
                <w:bCs/>
                <w:color w:val="FFFFFF"/>
                <w:sz w:val="19"/>
                <w:szCs w:val="19"/>
              </w:rPr>
              <w:t xml:space="preserve">Role</w:t>
            </w:r>
          </w:p>
        </w:tc>
        <w:tc>
          <w:tcPr>
            <w:tcW w:type="dxa" w:w="6426"/>
            <w:shd w:fill="1F3864" w:val="clear"/>
            <w:tcMar>
              <w:top w:type="dxa" w:w="50"/>
              <w:left w:type="dxa" w:w="110"/>
              <w:bottom w:type="dxa" w:w="50"/>
              <w:right w:type="dxa" w:w="110"/>
            </w:tcMar>
          </w:tcPr>
          <w:p>
            <w:pPr>
              <w:spacing w:after="0" w:line="252"/>
            </w:pPr>
            <w:r>
              <w:rPr>
                <w:b/>
                <w:bCs/>
                <w:color w:val="FFFFFF"/>
                <w:sz w:val="19"/>
                <w:szCs w:val="19"/>
              </w:rPr>
              <w:t xml:space="preserve">Party</w:t>
            </w:r>
          </w:p>
        </w:tc>
      </w:tr>
      <w:tr>
        <w:trPr>
          <w:tblHeader w:val="false"/>
        </w:trPr>
        <w:tc>
          <w:tcPr>
            <w:tcW w:type="dxa" w:w="2600"/>
            <w:tcMar>
              <w:top w:type="dxa" w:w="50"/>
              <w:left w:type="dxa" w:w="110"/>
              <w:bottom w:type="dxa" w:w="50"/>
              <w:right w:type="dxa" w:w="110"/>
            </w:tcMar>
          </w:tcPr>
          <w:p>
            <w:pPr>
              <w:spacing w:after="0" w:line="252"/>
            </w:pPr>
            <w:r>
              <w:rPr>
                <w:b w:val="false"/>
                <w:bCs w:val="false"/>
                <w:color w:val="000000"/>
                <w:sz w:val="19"/>
                <w:szCs w:val="19"/>
              </w:rPr>
              <w:t xml:space="preserve">Licensor</w:t>
            </w:r>
          </w:p>
        </w:tc>
        <w:tc>
          <w:tcPr>
            <w:tcW w:type="dxa" w:w="6426"/>
            <w:tcMar>
              <w:top w:type="dxa" w:w="50"/>
              <w:left w:type="dxa" w:w="110"/>
              <w:bottom w:type="dxa" w:w="50"/>
              <w:right w:type="dxa" w:w="110"/>
            </w:tcMar>
          </w:tcPr>
          <w:p>
            <w:pPr>
              <w:spacing w:after="0" w:line="252"/>
            </w:pPr>
            <w:r>
              <w:rPr>
                <w:b w:val="false"/>
                <w:bCs w:val="false"/>
                <w:color w:val="000000"/>
                <w:sz w:val="19"/>
                <w:szCs w:val="19"/>
              </w:rPr>
              <w:t xml:space="preserve">Penrose Robotics Limited (company no. 09214477), Cambridge</w:t>
            </w:r>
          </w:p>
        </w:tc>
      </w:tr>
      <w:tr>
        <w:trPr>
          <w:tblHeader w:val="false"/>
        </w:trPr>
        <w:tc>
          <w:tcPr>
            <w:tcW w:type="dxa" w:w="2600"/>
            <w:shd w:fill="F2F4F8" w:val="clear"/>
            <w:tcMar>
              <w:top w:type="dxa" w:w="50"/>
              <w:left w:type="dxa" w:w="110"/>
              <w:bottom w:type="dxa" w:w="50"/>
              <w:right w:type="dxa" w:w="110"/>
            </w:tcMar>
          </w:tcPr>
          <w:p>
            <w:pPr>
              <w:spacing w:after="0" w:line="252"/>
            </w:pPr>
            <w:r>
              <w:rPr>
                <w:b w:val="false"/>
                <w:bCs w:val="false"/>
                <w:color w:val="000000"/>
                <w:sz w:val="19"/>
                <w:szCs w:val="19"/>
              </w:rPr>
              <w:t xml:space="preserve">Licensee</w:t>
            </w:r>
          </w:p>
        </w:tc>
        <w:tc>
          <w:tcPr>
            <w:tcW w:type="dxa" w:w="6426"/>
            <w:shd w:fill="F2F4F8" w:val="clear"/>
            <w:tcMar>
              <w:top w:type="dxa" w:w="50"/>
              <w:left w:type="dxa" w:w="110"/>
              <w:bottom w:type="dxa" w:w="50"/>
              <w:right w:type="dxa" w:w="110"/>
            </w:tcMar>
          </w:tcPr>
          <w:p>
            <w:pPr>
              <w:spacing w:after="0" w:line="252"/>
            </w:pPr>
            <w:r>
              <w:rPr>
                <w:b w:val="false"/>
                <w:bCs w:val="false"/>
                <w:color w:val="000000"/>
                <w:sz w:val="19"/>
                <w:szCs w:val="19"/>
              </w:rPr>
              <w:t xml:space="preserve">Wexbourne Retail Group Limited (company no. 06677310), Northampton</w:t>
            </w:r>
          </w:p>
        </w:tc>
      </w:tr>
      <w:tr>
        <w:trPr>
          <w:tblHeader w:val="false"/>
        </w:trPr>
        <w:tc>
          <w:tcPr>
            <w:tcW w:type="dxa" w:w="2600"/>
            <w:tcMar>
              <w:top w:type="dxa" w:w="50"/>
              <w:left w:type="dxa" w:w="110"/>
              <w:bottom w:type="dxa" w:w="50"/>
              <w:right w:type="dxa" w:w="110"/>
            </w:tcMar>
          </w:tcPr>
          <w:p>
            <w:pPr>
              <w:spacing w:after="0" w:line="252"/>
            </w:pPr>
            <w:r>
              <w:rPr>
                <w:b w:val="false"/>
                <w:bCs w:val="false"/>
                <w:color w:val="000000"/>
                <w:sz w:val="19"/>
                <w:szCs w:val="19"/>
              </w:rPr>
              <w:t xml:space="preserve">Licensor's solicitors</w:t>
            </w:r>
          </w:p>
        </w:tc>
        <w:tc>
          <w:tcPr>
            <w:tcW w:type="dxa" w:w="6426"/>
            <w:tcMar>
              <w:top w:type="dxa" w:w="50"/>
              <w:left w:type="dxa" w:w="110"/>
              <w:bottom w:type="dxa" w:w="50"/>
              <w:right w:type="dxa" w:w="110"/>
            </w:tcMar>
          </w:tcPr>
          <w:p>
            <w:pPr>
              <w:spacing w:after="0" w:line="252"/>
            </w:pPr>
            <w:r>
              <w:rPr>
                <w:b w:val="false"/>
                <w:bCs w:val="false"/>
                <w:color w:val="000000"/>
                <w:sz w:val="19"/>
                <w:szCs w:val="19"/>
              </w:rPr>
              <w:t xml:space="preserve">Whitfield Carter LLP (Sarah Whitfield / James Osei)</w:t>
            </w:r>
          </w:p>
        </w:tc>
      </w:tr>
      <w:tr>
        <w:trPr>
          <w:tblHeader w:val="false"/>
        </w:trPr>
        <w:tc>
          <w:tcPr>
            <w:tcW w:type="dxa" w:w="2600"/>
            <w:shd w:fill="F2F4F8" w:val="clear"/>
            <w:tcMar>
              <w:top w:type="dxa" w:w="50"/>
              <w:left w:type="dxa" w:w="110"/>
              <w:bottom w:type="dxa" w:w="50"/>
              <w:right w:type="dxa" w:w="110"/>
            </w:tcMar>
          </w:tcPr>
          <w:p>
            <w:pPr>
              <w:spacing w:after="0" w:line="252"/>
            </w:pPr>
            <w:r>
              <w:rPr>
                <w:b w:val="false"/>
                <w:bCs w:val="false"/>
                <w:color w:val="000000"/>
                <w:sz w:val="19"/>
                <w:szCs w:val="19"/>
              </w:rPr>
              <w:t xml:space="preserve">Licensee's solicitors</w:t>
            </w:r>
          </w:p>
        </w:tc>
        <w:tc>
          <w:tcPr>
            <w:tcW w:type="dxa" w:w="6426"/>
            <w:shd w:fill="F2F4F8" w:val="clear"/>
            <w:tcMar>
              <w:top w:type="dxa" w:w="50"/>
              <w:left w:type="dxa" w:w="110"/>
              <w:bottom w:type="dxa" w:w="50"/>
              <w:right w:type="dxa" w:w="110"/>
            </w:tcMar>
          </w:tcPr>
          <w:p>
            <w:pPr>
              <w:spacing w:after="0" w:line="252"/>
            </w:pPr>
            <w:r>
              <w:rPr>
                <w:b w:val="false"/>
                <w:bCs w:val="false"/>
                <w:color w:val="000000"/>
                <w:sz w:val="19"/>
                <w:szCs w:val="19"/>
              </w:rPr>
              <w:t xml:space="preserve">Birchall Stone LLP (Oliver Jennings / Deepa Kovac)</w:t>
            </w:r>
          </w:p>
        </w:tc>
      </w:tr>
    </w:tbl>
    <w:p>
      <w:pPr>
        <w:pStyle w:val="Heading2"/>
      </w:pPr>
      <w:r>
        <w:t xml:space="preserve">2. Transaction</w:t>
      </w:r>
    </w:p>
    <w:p>
      <w:pPr>
        <w:spacing w:after="120" w:line="264"/>
      </w:pPr>
      <w:r>
        <w:t xml:space="preserve">Grant by the Licensor to the Licensee of a licence of the Licensed Patents and the Helmsman software platform (object code) for use with autonomous mobile robots in the Licensee's retail fulfilment and distribution operations in the UK and Republic of Ireland (the “Field”).</w:t>
      </w:r>
    </w:p>
    <w:p>
      <w:pPr>
        <w:pStyle w:val="Heading2"/>
      </w:pPr>
      <w:r>
        <w:t xml:space="preserve">3. Licence scope</w:t>
      </w:r>
    </w:p>
    <w:p>
      <w:pPr>
        <w:spacing w:after="120" w:line="264"/>
      </w:pPr>
      <w:r>
        <w:t xml:space="preserve">Non-exclusive, save that the licence will be exclusive within the Field in the UK and ROI for so long as the Licensee maintains a minimum installed fleet (threshold to be agreed; Licensor proposes 750 Deployed Robots, Licensee proposes 500).</w:t>
      </w:r>
    </w:p>
    <w:p>
      <w:pPr>
        <w:pStyle w:val="Heading2"/>
      </w:pPr>
      <w:r>
        <w:t xml:space="preserve">4. Term</w:t>
      </w:r>
    </w:p>
    <w:p>
      <w:pPr>
        <w:spacing w:after="120" w:line="264"/>
      </w:pPr>
      <w:r>
        <w:t xml:space="preserve">Initial term of 5 years, renewing automatically for successive 2-year periods unless terminated on 6 months' notice.</w:t>
      </w:r>
    </w:p>
    <w:p>
      <w:pPr>
        <w:pStyle w:val="Heading2"/>
      </w:pPr>
      <w:r>
        <w:t xml:space="preserve">5. Commercials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000"/>
        <w:gridCol w:w="6026"/>
      </w:tblGrid>
      <w:tr>
        <w:trPr>
          <w:tblHeader/>
        </w:trPr>
        <w:tc>
          <w:tcPr>
            <w:tcW w:type="dxa" w:w="3000"/>
            <w:shd w:fill="1F3864" w:val="clear"/>
            <w:tcMar>
              <w:top w:type="dxa" w:w="50"/>
              <w:left w:type="dxa" w:w="110"/>
              <w:bottom w:type="dxa" w:w="50"/>
              <w:right w:type="dxa" w:w="110"/>
            </w:tcMar>
          </w:tcPr>
          <w:p>
            <w:pPr>
              <w:spacing w:after="0" w:line="252"/>
            </w:pPr>
            <w:r>
              <w:rPr>
                <w:b/>
                <w:bCs/>
                <w:color w:val="FFFFFF"/>
                <w:sz w:val="19"/>
                <w:szCs w:val="19"/>
              </w:rPr>
              <w:t xml:space="preserve">Item</w:t>
            </w:r>
          </w:p>
        </w:tc>
        <w:tc>
          <w:tcPr>
            <w:tcW w:type="dxa" w:w="6026"/>
            <w:shd w:fill="1F3864" w:val="clear"/>
            <w:tcMar>
              <w:top w:type="dxa" w:w="50"/>
              <w:left w:type="dxa" w:w="110"/>
              <w:bottom w:type="dxa" w:w="50"/>
              <w:right w:type="dxa" w:w="110"/>
            </w:tcMar>
          </w:tcPr>
          <w:p>
            <w:pPr>
              <w:spacing w:after="0" w:line="252"/>
            </w:pPr>
            <w:r>
              <w:rPr>
                <w:b/>
                <w:bCs/>
                <w:color w:val="FFFFFF"/>
                <w:sz w:val="19"/>
                <w:szCs w:val="19"/>
              </w:rPr>
              <w:t xml:space="preserve">Indicative terms</w:t>
            </w:r>
          </w:p>
        </w:tc>
      </w:tr>
      <w:tr>
        <w:trPr>
          <w:tblHeader w:val="false"/>
        </w:trPr>
        <w:tc>
          <w:tcPr>
            <w:tcW w:type="dxa" w:w="3000"/>
            <w:tcMar>
              <w:top w:type="dxa" w:w="50"/>
              <w:left w:type="dxa" w:w="110"/>
              <w:bottom w:type="dxa" w:w="50"/>
              <w:right w:type="dxa" w:w="110"/>
            </w:tcMar>
          </w:tcPr>
          <w:p>
            <w:pPr>
              <w:spacing w:after="0" w:line="252"/>
            </w:pPr>
            <w:r>
              <w:rPr>
                <w:b w:val="false"/>
                <w:bCs w:val="false"/>
                <w:color w:val="000000"/>
                <w:sz w:val="19"/>
                <w:szCs w:val="19"/>
              </w:rPr>
              <w:t xml:space="preserve">Up-front licence fee</w:t>
            </w:r>
          </w:p>
        </w:tc>
        <w:tc>
          <w:tcPr>
            <w:tcW w:type="dxa" w:w="6026"/>
            <w:tcMar>
              <w:top w:type="dxa" w:w="50"/>
              <w:left w:type="dxa" w:w="110"/>
              <w:bottom w:type="dxa" w:w="50"/>
              <w:right w:type="dxa" w:w="110"/>
            </w:tcMar>
          </w:tcPr>
          <w:p>
            <w:pPr>
              <w:spacing w:after="0" w:line="252"/>
            </w:pPr>
            <w:r>
              <w:rPr>
                <w:b w:val="false"/>
                <w:bCs w:val="false"/>
                <w:color w:val="000000"/>
                <w:sz w:val="19"/>
                <w:szCs w:val="19"/>
              </w:rPr>
              <w:t xml:space="preserve">£3,200,000</w:t>
            </w:r>
          </w:p>
        </w:tc>
      </w:tr>
      <w:tr>
        <w:trPr>
          <w:tblHeader w:val="false"/>
        </w:trPr>
        <w:tc>
          <w:tcPr>
            <w:tcW w:type="dxa" w:w="3000"/>
            <w:shd w:fill="F2F4F8" w:val="clear"/>
            <w:tcMar>
              <w:top w:type="dxa" w:w="50"/>
              <w:left w:type="dxa" w:w="110"/>
              <w:bottom w:type="dxa" w:w="50"/>
              <w:right w:type="dxa" w:w="110"/>
            </w:tcMar>
          </w:tcPr>
          <w:p>
            <w:pPr>
              <w:spacing w:after="0" w:line="252"/>
            </w:pPr>
            <w:r>
              <w:rPr>
                <w:b w:val="false"/>
                <w:bCs w:val="false"/>
                <w:color w:val="000000"/>
                <w:sz w:val="19"/>
                <w:szCs w:val="19"/>
              </w:rPr>
              <w:t xml:space="preserve">Per-robot royalty</w:t>
            </w:r>
          </w:p>
        </w:tc>
        <w:tc>
          <w:tcPr>
            <w:tcW w:type="dxa" w:w="6026"/>
            <w:shd w:fill="F2F4F8" w:val="clear"/>
            <w:tcMar>
              <w:top w:type="dxa" w:w="50"/>
              <w:left w:type="dxa" w:w="110"/>
              <w:bottom w:type="dxa" w:w="50"/>
              <w:right w:type="dxa" w:w="110"/>
            </w:tcMar>
          </w:tcPr>
          <w:p>
            <w:pPr>
              <w:spacing w:after="0" w:line="252"/>
            </w:pPr>
            <w:r>
              <w:rPr>
                <w:b w:val="false"/>
                <w:bCs w:val="false"/>
                <w:color w:val="000000"/>
                <w:sz w:val="19"/>
                <w:szCs w:val="19"/>
              </w:rPr>
              <w:t xml:space="preserve">£1,450 per Deployed Robot per annum</w:t>
            </w:r>
          </w:p>
        </w:tc>
      </w:tr>
      <w:tr>
        <w:trPr>
          <w:tblHeader w:val="false"/>
        </w:trPr>
        <w:tc>
          <w:tcPr>
            <w:tcW w:type="dxa" w:w="3000"/>
            <w:tcMar>
              <w:top w:type="dxa" w:w="50"/>
              <w:left w:type="dxa" w:w="110"/>
              <w:bottom w:type="dxa" w:w="50"/>
              <w:right w:type="dxa" w:w="110"/>
            </w:tcMar>
          </w:tcPr>
          <w:p>
            <w:pPr>
              <w:spacing w:after="0" w:line="252"/>
            </w:pPr>
            <w:r>
              <w:rPr>
                <w:b w:val="false"/>
                <w:bCs w:val="false"/>
                <w:color w:val="000000"/>
                <w:sz w:val="19"/>
                <w:szCs w:val="19"/>
              </w:rPr>
              <w:t xml:space="preserve">Annual minimum royalty</w:t>
            </w:r>
          </w:p>
        </w:tc>
        <w:tc>
          <w:tcPr>
            <w:tcW w:type="dxa" w:w="6026"/>
            <w:tcMar>
              <w:top w:type="dxa" w:w="50"/>
              <w:left w:type="dxa" w:w="110"/>
              <w:bottom w:type="dxa" w:w="50"/>
              <w:right w:type="dxa" w:w="110"/>
            </w:tcMar>
          </w:tcPr>
          <w:p>
            <w:pPr>
              <w:spacing w:after="0" w:line="252"/>
            </w:pPr>
            <w:r>
              <w:rPr>
                <w:b w:val="false"/>
                <w:bCs w:val="false"/>
                <w:color w:val="000000"/>
                <w:sz w:val="19"/>
                <w:szCs w:val="19"/>
              </w:rPr>
              <w:t xml:space="preserve">£1,087,500 (equivalent to 750 robots)</w:t>
            </w:r>
          </w:p>
        </w:tc>
      </w:tr>
      <w:tr>
        <w:trPr>
          <w:tblHeader w:val="false"/>
        </w:trPr>
        <w:tc>
          <w:tcPr>
            <w:tcW w:type="dxa" w:w="3000"/>
            <w:shd w:fill="F2F4F8" w:val="clear"/>
            <w:tcMar>
              <w:top w:type="dxa" w:w="50"/>
              <w:left w:type="dxa" w:w="110"/>
              <w:bottom w:type="dxa" w:w="50"/>
              <w:right w:type="dxa" w:w="110"/>
            </w:tcMar>
          </w:tcPr>
          <w:p>
            <w:pPr>
              <w:spacing w:after="0" w:line="252"/>
            </w:pPr>
            <w:r>
              <w:rPr>
                <w:b w:val="false"/>
                <w:bCs w:val="false"/>
                <w:color w:val="000000"/>
                <w:sz w:val="19"/>
                <w:szCs w:val="19"/>
              </w:rPr>
              <w:t xml:space="preserve">Maintenance &amp; support</w:t>
            </w:r>
          </w:p>
        </w:tc>
        <w:tc>
          <w:tcPr>
            <w:tcW w:type="dxa" w:w="6026"/>
            <w:shd w:fill="F2F4F8" w:val="clear"/>
            <w:tcMar>
              <w:top w:type="dxa" w:w="50"/>
              <w:left w:type="dxa" w:w="110"/>
              <w:bottom w:type="dxa" w:w="50"/>
              <w:right w:type="dxa" w:w="110"/>
            </w:tcMar>
          </w:tcPr>
          <w:p>
            <w:pPr>
              <w:spacing w:after="0" w:line="252"/>
            </w:pPr>
            <w:r>
              <w:rPr>
                <w:b w:val="false"/>
                <w:bCs w:val="false"/>
                <w:color w:val="000000"/>
                <w:sz w:val="19"/>
                <w:szCs w:val="19"/>
              </w:rPr>
              <w:t xml:space="preserve">18% of licence fee p.a. (£576,000)</w:t>
            </w:r>
          </w:p>
        </w:tc>
      </w:tr>
      <w:tr>
        <w:trPr>
          <w:tblHeader w:val="false"/>
        </w:trPr>
        <w:tc>
          <w:tcPr>
            <w:tcW w:type="dxa" w:w="3000"/>
            <w:tcMar>
              <w:top w:type="dxa" w:w="50"/>
              <w:left w:type="dxa" w:w="110"/>
              <w:bottom w:type="dxa" w:w="50"/>
              <w:right w:type="dxa" w:w="110"/>
            </w:tcMar>
          </w:tcPr>
          <w:p>
            <w:pPr>
              <w:spacing w:after="0" w:line="252"/>
            </w:pPr>
            <w:r>
              <w:rPr>
                <w:b w:val="false"/>
                <w:bCs w:val="false"/>
                <w:color w:val="000000"/>
                <w:sz w:val="19"/>
                <w:szCs w:val="19"/>
              </w:rPr>
              <w:t xml:space="preserve">Indexation</w:t>
            </w:r>
          </w:p>
        </w:tc>
        <w:tc>
          <w:tcPr>
            <w:tcW w:type="dxa" w:w="6026"/>
            <w:tcMar>
              <w:top w:type="dxa" w:w="50"/>
              <w:left w:type="dxa" w:w="110"/>
              <w:bottom w:type="dxa" w:w="50"/>
              <w:right w:type="dxa" w:w="110"/>
            </w:tcMar>
          </w:tcPr>
          <w:p>
            <w:pPr>
              <w:spacing w:after="0" w:line="252"/>
            </w:pPr>
            <w:r>
              <w:rPr>
                <w:b w:val="false"/>
                <w:bCs w:val="false"/>
                <w:color w:val="000000"/>
                <w:sz w:val="19"/>
                <w:szCs w:val="19"/>
              </w:rPr>
              <w:t xml:space="preserve">CPIH, capped 4% p.a., from first anniversary</w:t>
            </w:r>
          </w:p>
        </w:tc>
      </w:tr>
    </w:tbl>
    <w:p>
      <w:pPr>
        <w:pStyle w:val="Heading2"/>
      </w:pPr>
      <w:r>
        <w:t xml:space="preserve">6. Source code escrow</w:t>
      </w:r>
    </w:p>
    <w:p>
      <w:pPr>
        <w:spacing w:after="120" w:line="264"/>
      </w:pPr>
      <w:r>
        <w:t xml:space="preserve">Source code to be deposited with an NCC-style escrow agent; release on customary release events (Licensor insolvency, cessation of support, material unremedied breach).</w:t>
      </w:r>
    </w:p>
    <w:p>
      <w:pPr>
        <w:pStyle w:val="Heading2"/>
      </w:pPr>
      <w:r>
        <w:t xml:space="preserve">7. Support and SLA</w:t>
      </w:r>
    </w:p>
    <w:p>
      <w:pPr>
        <w:spacing w:after="120" w:line="264"/>
      </w:pPr>
      <w:r>
        <w:t xml:space="preserve">Severity-based response and fix targets with service credits, as set out in the support schedule to the licence.</w:t>
      </w:r>
    </w:p>
    <w:p>
      <w:pPr>
        <w:pStyle w:val="Heading2"/>
      </w:pPr>
      <w:r>
        <w:t xml:space="preserve">8. Warranties and IP indemnity</w:t>
      </w:r>
    </w:p>
    <w:p>
      <w:pPr>
        <w:spacing w:after="120" w:line="264"/>
      </w:pPr>
      <w:r>
        <w:t xml:space="preserve">Customary performance warranty and third-party IP infringement indemnity from the Licensor, subject to agreed limitations and a cap on indemnity liability (to be negotiated; Licensor proposes £5m).</w:t>
      </w:r>
    </w:p>
    <w:p>
      <w:pPr>
        <w:pStyle w:val="Heading2"/>
      </w:pPr>
      <w:r>
        <w:t xml:space="preserve">9. Implementation</w:t>
      </w:r>
    </w:p>
    <w:p>
      <w:pPr>
        <w:spacing w:after="120" w:line="264"/>
      </w:pPr>
      <w:r>
        <w:t xml:space="preserve">Phased roll-out: Phase 1 Northampton FC and Lutterworth returns hub; Phase 2 Daventry and Warrington; Phase 3 Dublin FC.</w:t>
      </w:r>
    </w:p>
    <w:p>
      <w:pPr>
        <w:pStyle w:val="Heading2"/>
      </w:pPr>
      <w:r>
        <w:t xml:space="preserve">10. Conditions</w:t>
      </w:r>
    </w:p>
    <w:p>
      <w:pPr>
        <w:spacing w:after="120" w:line="264"/>
      </w:pPr>
      <w:r>
        <w:t xml:space="preserve">Execution of the licence and escrow agreement; board approvals of both parties; completion of confirmatory IP and freedom-to-operate review.</w:t>
      </w:r>
    </w:p>
    <w:p>
      <w:pPr>
        <w:pStyle w:val="Heading2"/>
      </w:pPr>
      <w:r>
        <w:t xml:space="preserve">11. Exclusivity (binding)</w:t>
      </w:r>
    </w:p>
    <w:p>
      <w:pPr>
        <w:spacing w:after="120" w:line="264"/>
      </w:pPr>
      <w:r>
        <w:t xml:space="preserve">For a period of 60 days from the date of these heads of terms, the Licensor shall not solicit, encourage or enter into discussions with any other UK grocery or general-merchandise retailer in respect of an exclusive licence of the Helmsman platform in the Field.</w:t>
      </w:r>
    </w:p>
    <w:p>
      <w:pPr>
        <w:pStyle w:val="Heading2"/>
      </w:pPr>
      <w:r>
        <w:t xml:space="preserve">12. Confidentiality (binding)</w:t>
      </w:r>
    </w:p>
    <w:p>
      <w:pPr>
        <w:spacing w:after="120" w:line="264"/>
      </w:pPr>
      <w:r>
        <w:t xml:space="preserve">Each party shall keep the existence and terms of these heads of terms and the proposed transaction confidential, subject to the mutual NDA dated 9 October 2025.</w:t>
      </w:r>
    </w:p>
    <w:p>
      <w:pPr>
        <w:pStyle w:val="Heading2"/>
      </w:pPr>
      <w:r>
        <w:t xml:space="preserve">13. Costs (binding)</w:t>
      </w:r>
    </w:p>
    <w:p>
      <w:pPr>
        <w:spacing w:after="120" w:line="264"/>
      </w:pPr>
      <w:r>
        <w:t xml:space="preserve">Each party bears its own costs.</w:t>
      </w:r>
    </w:p>
    <w:p>
      <w:pPr>
        <w:spacing w:before="260"/>
      </w:pPr>
      <w:r>
        <w:rPr>
          <w:i/>
          <w:iCs/>
        </w:rPr>
        <w:t xml:space="preserve">Agreed for and on behalf of the parties:</w:t>
      </w:r>
    </w:p>
    <w:p>
      <w:pPr>
        <w:spacing w:before="200"/>
      </w:pPr>
      <w:r>
        <w:t xml:space="preserve">Penrose Robotics Limited: .............................  (Dr Marcus Penrose, CEO)</w:t>
      </w:r>
    </w:p>
    <w:p>
      <w:pPr>
        <w:spacing w:before="120"/>
      </w:pPr>
      <w:r>
        <w:t xml:space="preserve">Wexbourne Retail Group Limited: .............................  (Daniel Wexbourne, CEO)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tabs>
        <w:tab w:val="right" w:pos="9026"/>
      </w:tabs>
    </w:pPr>
    <w:r>
      <w:rPr>
        <w:color w:val="777777"/>
        <w:sz w:val="14"/>
        <w:szCs w:val="14"/>
      </w:rPr>
      <w:t xml:space="preserve">Project Northwind — Heads of Terms   |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30"/>
        <w:szCs w:val="30"/>
      </w:rPr>
      <w:t xml:space="preserve">Whitfield Carter LLP</w:t>
    </w:r>
  </w:p>
  <w:p>
    <w:pPr>
      <w:spacing w:after="0"/>
      <w:jc w:val="left"/>
    </w:pPr>
    <w:r>
      <w:rPr>
        <w:i/>
        <w:iCs/>
        <w:color w:val="555555"/>
        <w:sz w:val="16"/>
        <w:szCs w:val="16"/>
      </w:rPr>
      <w:t xml:space="preserve">Solicitors</w:t>
    </w:r>
  </w:p>
  <w:p>
    <w:pPr>
      <w:pBdr>
        <w:bottom w:val="single" w:color="1F3864" w:sz="8" w:space="2"/>
      </w:pBdr>
      <w:spacing w:after="60"/>
      <w:jc w:val="left"/>
    </w:pPr>
    <w:r>
      <w:rPr>
        <w:color w:val="555555"/>
        <w:sz w:val="15"/>
        <w:szCs w:val="15"/>
      </w:rPr>
      <w:t xml:space="preserve">22 Bishopsgate, London EC2N 4BQ   |   T +44 (0)20 7946 0521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Arial" w:cs="Arial" w:eastAsia="Arial" w:hAnsi="Arial"/>
      <w:b/>
      <w:bCs/>
      <w:sz w:val="24"/>
      <w:szCs w:val="24"/>
    </w:rPr>
  </w:style>
  <w:style w:type="paragraph" w:styleId="Heading2">
    <w:name w:val="Heading 2"/>
    <w:basedOn w:val="Normal"/>
    <w:next w:val="Normal"/>
    <w:qFormat/>
    <w:pPr>
      <w:keepNext/>
      <w:spacing w:after="100" w:before="160"/>
      <w:outlineLvl w:val="1"/>
    </w:pPr>
    <w:rPr>
      <w:rFonts w:ascii="Arial" w:cs="Arial" w:eastAsia="Arial" w:hAnsi="Arial"/>
      <w:b/>
      <w:bCs/>
      <w:sz w:val="22"/>
      <w:szCs w:val="22"/>
    </w:rPr>
  </w:style>
  <w:style w:type="paragraph" w:styleId="Heading3">
    <w:name w:val="Heading 3"/>
    <w:basedOn w:val="Normal"/>
    <w:next w:val="Normal"/>
    <w:qFormat/>
    <w:pPr>
      <w:keepNext/>
      <w:spacing w:after="80" w:before="12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2026-06-26T12:13:54.860Z</dcterms:created>
  <dcterms:modified xsi:type="dcterms:W3CDTF">2026-06-26T12:13:54.860Z</dcterms:modified>
</cp:coreProperties>
</file>

<file path=docProps/custom.xml><?xml version="1.0" encoding="utf-8"?>
<Properties xmlns="http://schemas.openxmlformats.org/officeDocument/2006/custom-properties" xmlns:vt="http://schemas.openxmlformats.org/officeDocument/2006/docPropsVTypes"/>
</file>