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SCHEDULE 3</w:t>
      </w:r>
    </w:p>
    <w:p>
      <w:pPr>
        <w:spacing w:after="200"/>
        <w:jc w:val="center"/>
      </w:pPr>
      <w:r>
        <w:rPr>
          <w:b/>
          <w:bCs/>
          <w:color w:val="1F3864"/>
          <w:sz w:val="22"/>
          <w:szCs w:val="22"/>
        </w:rPr>
        <w:t xml:space="preserve">SUPPORT, MAINTENANCE AND SERVICE LEVELS</w:t>
      </w:r>
    </w:p>
    <w:p>
      <w:pPr>
        <w:pStyle w:val="Heading1"/>
      </w:pPr>
      <w:r>
        <w:t xml:space="preserve">1. Support hours and contacts</w:t>
      </w:r>
    </w:p>
    <w:p>
      <w:pPr>
        <w:spacing w:after="120" w:line="264"/>
      </w:pPr>
      <w:r>
        <w:t xml:space="preserve">The Licensor shall provide support for the Licensed Software as set out in this Schedule. Standard support hours are 07:00 to 19:00 (UK time) on Business Days. Severity 1 incidents are supported 24x7. Support is requested through the Licensor's service desk portal or, for Severity 1, the dedicated incident hotline.</w:t>
      </w:r>
    </w:p>
    <w:p>
      <w:pPr>
        <w:pStyle w:val="Heading1"/>
      </w:pPr>
      <w:r>
        <w:t xml:space="preserve">2. Incident severity definitions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400"/>
        <w:gridCol w:w="6626"/>
      </w:tblGrid>
      <w:tr>
        <w:trPr>
          <w:tblHeader/>
        </w:trPr>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Severity</w:t>
            </w:r>
          </w:p>
        </w:tc>
        <w:tc>
          <w:tcPr>
            <w:tcW w:type="dxa" w:w="6626"/>
            <w:shd w:fill="1F3864" w:val="clear"/>
            <w:tcMar>
              <w:top w:type="dxa" w:w="50"/>
              <w:left w:type="dxa" w:w="110"/>
              <w:bottom w:type="dxa" w:w="50"/>
              <w:right w:type="dxa" w:w="110"/>
            </w:tcMar>
          </w:tcPr>
          <w:p>
            <w:pPr>
              <w:spacing w:after="0" w:line="252"/>
            </w:pPr>
            <w:r>
              <w:rPr>
                <w:b/>
                <w:bCs/>
                <w:color w:val="FFFFFF"/>
                <w:sz w:val="19"/>
                <w:szCs w:val="19"/>
              </w:rPr>
              <w:t xml:space="preserve">Definition</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Severity 1 — Critical</w:t>
            </w:r>
          </w:p>
        </w:tc>
        <w:tc>
          <w:tcPr>
            <w:tcW w:type="dxa" w:w="6626"/>
            <w:tcMar>
              <w:top w:type="dxa" w:w="50"/>
              <w:left w:type="dxa" w:w="110"/>
              <w:bottom w:type="dxa" w:w="50"/>
              <w:right w:type="dxa" w:w="110"/>
            </w:tcMar>
          </w:tcPr>
          <w:p>
            <w:pPr>
              <w:spacing w:after="0" w:line="252"/>
            </w:pPr>
            <w:r>
              <w:rPr>
                <w:b w:val="false"/>
                <w:bCs w:val="false"/>
                <w:color w:val="000000"/>
                <w:sz w:val="19"/>
                <w:szCs w:val="19"/>
              </w:rPr>
              <w:t xml:space="preserve">The Licensed Software is wholly inoperable at an Authorised Site, or robot movement is halted fleet-wide, with no workaround. Material impact on fulfilment operations.</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Severity 2 — High</w:t>
            </w:r>
          </w:p>
        </w:tc>
        <w:tc>
          <w:tcPr>
            <w:tcW w:type="dxa" w:w="6626"/>
            <w:shd w:fill="F2F4F8" w:val="clear"/>
            <w:tcMar>
              <w:top w:type="dxa" w:w="50"/>
              <w:left w:type="dxa" w:w="110"/>
              <w:bottom w:type="dxa" w:w="50"/>
              <w:right w:type="dxa" w:w="110"/>
            </w:tcMar>
          </w:tcPr>
          <w:p>
            <w:pPr>
              <w:spacing w:after="0" w:line="252"/>
            </w:pPr>
            <w:r>
              <w:rPr>
                <w:b w:val="false"/>
                <w:bCs w:val="false"/>
                <w:color w:val="000000"/>
                <w:sz w:val="19"/>
                <w:szCs w:val="19"/>
              </w:rPr>
              <w:t xml:space="preserve">Major functionality is impaired or degraded; a workaround may exist but operations are materially affected at one or more Authorised Sites.</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Severity 3 — Medium</w:t>
            </w:r>
          </w:p>
        </w:tc>
        <w:tc>
          <w:tcPr>
            <w:tcW w:type="dxa" w:w="6626"/>
            <w:tcMar>
              <w:top w:type="dxa" w:w="50"/>
              <w:left w:type="dxa" w:w="110"/>
              <w:bottom w:type="dxa" w:w="50"/>
              <w:right w:type="dxa" w:w="110"/>
            </w:tcMar>
          </w:tcPr>
          <w:p>
            <w:pPr>
              <w:spacing w:after="0" w:line="252"/>
            </w:pPr>
            <w:r>
              <w:rPr>
                <w:b w:val="false"/>
                <w:bCs w:val="false"/>
                <w:color w:val="000000"/>
                <w:sz w:val="19"/>
                <w:szCs w:val="19"/>
              </w:rPr>
              <w:t xml:space="preserve">Minor functionality is impaired; limited operational impact; a reasonable workaround is available.</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Severity 4 — Low</w:t>
            </w:r>
          </w:p>
        </w:tc>
        <w:tc>
          <w:tcPr>
            <w:tcW w:type="dxa" w:w="6626"/>
            <w:shd w:fill="F2F4F8" w:val="clear"/>
            <w:tcMar>
              <w:top w:type="dxa" w:w="50"/>
              <w:left w:type="dxa" w:w="110"/>
              <w:bottom w:type="dxa" w:w="50"/>
              <w:right w:type="dxa" w:w="110"/>
            </w:tcMar>
          </w:tcPr>
          <w:p>
            <w:pPr>
              <w:spacing w:after="0" w:line="252"/>
            </w:pPr>
            <w:r>
              <w:rPr>
                <w:b w:val="false"/>
                <w:bCs w:val="false"/>
                <w:color w:val="000000"/>
                <w:sz w:val="19"/>
                <w:szCs w:val="19"/>
              </w:rPr>
              <w:t xml:space="preserve">Cosmetic issue, documentation query or enhancement request; no operational impact.</w:t>
            </w:r>
          </w:p>
        </w:tc>
      </w:tr>
    </w:tbl>
    <w:p>
      <w:pPr>
        <w:pStyle w:val="Heading1"/>
      </w:pPr>
      <w:r>
        <w:t xml:space="preserve">3. Response and resolution targets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200"/>
        <w:gridCol w:w="2200"/>
        <w:gridCol w:w="2300"/>
        <w:gridCol w:w="2326"/>
      </w:tblGrid>
      <w:tr>
        <w:trPr>
          <w:tblHeader/>
        </w:trPr>
        <w:tc>
          <w:tcPr>
            <w:tcW w:type="dxa" w:w="2200"/>
            <w:shd w:fill="1F3864" w:val="clear"/>
            <w:tcMar>
              <w:top w:type="dxa" w:w="50"/>
              <w:left w:type="dxa" w:w="110"/>
              <w:bottom w:type="dxa" w:w="50"/>
              <w:right w:type="dxa" w:w="110"/>
            </w:tcMar>
          </w:tcPr>
          <w:p>
            <w:pPr>
              <w:spacing w:after="0" w:line="252"/>
            </w:pPr>
            <w:r>
              <w:rPr>
                <w:b/>
                <w:bCs/>
                <w:color w:val="FFFFFF"/>
                <w:sz w:val="19"/>
                <w:szCs w:val="19"/>
              </w:rPr>
              <w:t xml:space="preserve">Severity</w:t>
            </w:r>
          </w:p>
        </w:tc>
        <w:tc>
          <w:tcPr>
            <w:tcW w:type="dxa" w:w="2200"/>
            <w:shd w:fill="1F3864" w:val="clear"/>
            <w:tcMar>
              <w:top w:type="dxa" w:w="50"/>
              <w:left w:type="dxa" w:w="110"/>
              <w:bottom w:type="dxa" w:w="50"/>
              <w:right w:type="dxa" w:w="110"/>
            </w:tcMar>
          </w:tcPr>
          <w:p>
            <w:pPr>
              <w:spacing w:after="0" w:line="252"/>
            </w:pPr>
            <w:r>
              <w:rPr>
                <w:b/>
                <w:bCs/>
                <w:color w:val="FFFFFF"/>
                <w:sz w:val="19"/>
                <w:szCs w:val="19"/>
              </w:rPr>
              <w:t xml:space="preserve">Target response</w:t>
            </w:r>
          </w:p>
        </w:tc>
        <w:tc>
          <w:tcPr>
            <w:tcW w:type="dxa" w:w="2300"/>
            <w:shd w:fill="1F3864" w:val="clear"/>
            <w:tcMar>
              <w:top w:type="dxa" w:w="50"/>
              <w:left w:type="dxa" w:w="110"/>
              <w:bottom w:type="dxa" w:w="50"/>
              <w:right w:type="dxa" w:w="110"/>
            </w:tcMar>
          </w:tcPr>
          <w:p>
            <w:pPr>
              <w:spacing w:after="0" w:line="252"/>
            </w:pPr>
            <w:r>
              <w:rPr>
                <w:b/>
                <w:bCs/>
                <w:color w:val="FFFFFF"/>
                <w:sz w:val="19"/>
                <w:szCs w:val="19"/>
              </w:rPr>
              <w:t xml:space="preserve">Target temporary fix</w:t>
            </w:r>
          </w:p>
        </w:tc>
        <w:tc>
          <w:tcPr>
            <w:tcW w:type="dxa" w:w="2326"/>
            <w:shd w:fill="1F3864" w:val="clear"/>
            <w:tcMar>
              <w:top w:type="dxa" w:w="50"/>
              <w:left w:type="dxa" w:w="110"/>
              <w:bottom w:type="dxa" w:w="50"/>
              <w:right w:type="dxa" w:w="110"/>
            </w:tcMar>
          </w:tcPr>
          <w:p>
            <w:pPr>
              <w:spacing w:after="0" w:line="252"/>
            </w:pPr>
            <w:r>
              <w:rPr>
                <w:b/>
                <w:bCs/>
                <w:color w:val="FFFFFF"/>
                <w:sz w:val="19"/>
                <w:szCs w:val="19"/>
              </w:rPr>
              <w:t xml:space="preserve">Target permanent fix</w:t>
            </w:r>
          </w:p>
        </w:tc>
      </w:tr>
      <w:tr>
        <w:trPr>
          <w:tblHeader w:val="false"/>
        </w:trPr>
        <w:tc>
          <w:tcPr>
            <w:tcW w:type="dxa" w:w="2200"/>
            <w:tcMar>
              <w:top w:type="dxa" w:w="50"/>
              <w:left w:type="dxa" w:w="110"/>
              <w:bottom w:type="dxa" w:w="50"/>
              <w:right w:type="dxa" w:w="110"/>
            </w:tcMar>
          </w:tcPr>
          <w:p>
            <w:pPr>
              <w:spacing w:after="0" w:line="252"/>
            </w:pPr>
            <w:r>
              <w:rPr>
                <w:b w:val="false"/>
                <w:bCs w:val="false"/>
                <w:color w:val="000000"/>
                <w:sz w:val="19"/>
                <w:szCs w:val="19"/>
              </w:rPr>
              <w:t xml:space="preserve">Severity 1</w:t>
            </w:r>
          </w:p>
        </w:tc>
        <w:tc>
          <w:tcPr>
            <w:tcW w:type="dxa" w:w="2200"/>
            <w:tcMar>
              <w:top w:type="dxa" w:w="50"/>
              <w:left w:type="dxa" w:w="110"/>
              <w:bottom w:type="dxa" w:w="50"/>
              <w:right w:type="dxa" w:w="110"/>
            </w:tcMar>
          </w:tcPr>
          <w:p>
            <w:pPr>
              <w:spacing w:after="0" w:line="252"/>
            </w:pPr>
            <w:r>
              <w:rPr>
                <w:b w:val="false"/>
                <w:bCs w:val="false"/>
                <w:color w:val="000000"/>
                <w:sz w:val="19"/>
                <w:szCs w:val="19"/>
              </w:rPr>
              <w:t xml:space="preserve">30 minutes</w:t>
            </w:r>
          </w:p>
        </w:tc>
        <w:tc>
          <w:tcPr>
            <w:tcW w:type="dxa" w:w="2300"/>
            <w:tcMar>
              <w:top w:type="dxa" w:w="50"/>
              <w:left w:type="dxa" w:w="110"/>
              <w:bottom w:type="dxa" w:w="50"/>
              <w:right w:type="dxa" w:w="110"/>
            </w:tcMar>
          </w:tcPr>
          <w:p>
            <w:pPr>
              <w:spacing w:after="0" w:line="252"/>
            </w:pPr>
            <w:r>
              <w:rPr>
                <w:b w:val="false"/>
                <w:bCs w:val="false"/>
                <w:color w:val="000000"/>
                <w:sz w:val="19"/>
                <w:szCs w:val="19"/>
              </w:rPr>
              <w:t xml:space="preserve">4 hours</w:t>
            </w:r>
          </w:p>
        </w:tc>
        <w:tc>
          <w:tcPr>
            <w:tcW w:type="dxa" w:w="2326"/>
            <w:tcMar>
              <w:top w:type="dxa" w:w="50"/>
              <w:left w:type="dxa" w:w="110"/>
              <w:bottom w:type="dxa" w:w="50"/>
              <w:right w:type="dxa" w:w="110"/>
            </w:tcMar>
          </w:tcPr>
          <w:p>
            <w:pPr>
              <w:spacing w:after="0" w:line="252"/>
            </w:pPr>
            <w:r>
              <w:rPr>
                <w:b w:val="false"/>
                <w:bCs w:val="false"/>
                <w:color w:val="000000"/>
                <w:sz w:val="19"/>
                <w:szCs w:val="19"/>
              </w:rPr>
              <w:t xml:space="preserve">5 Business Days</w:t>
            </w:r>
          </w:p>
        </w:tc>
      </w:tr>
      <w:tr>
        <w:trPr>
          <w:tblHeader w:val="false"/>
        </w:trPr>
        <w:tc>
          <w:tcPr>
            <w:tcW w:type="dxa" w:w="2200"/>
            <w:shd w:fill="F2F4F8" w:val="clear"/>
            <w:tcMar>
              <w:top w:type="dxa" w:w="50"/>
              <w:left w:type="dxa" w:w="110"/>
              <w:bottom w:type="dxa" w:w="50"/>
              <w:right w:type="dxa" w:w="110"/>
            </w:tcMar>
          </w:tcPr>
          <w:p>
            <w:pPr>
              <w:spacing w:after="0" w:line="252"/>
            </w:pPr>
            <w:r>
              <w:rPr>
                <w:b w:val="false"/>
                <w:bCs w:val="false"/>
                <w:color w:val="000000"/>
                <w:sz w:val="19"/>
                <w:szCs w:val="19"/>
              </w:rPr>
              <w:t xml:space="preserve">Severity 2</w:t>
            </w:r>
          </w:p>
        </w:tc>
        <w:tc>
          <w:tcPr>
            <w:tcW w:type="dxa" w:w="2200"/>
            <w:shd w:fill="F2F4F8" w:val="clear"/>
            <w:tcMar>
              <w:top w:type="dxa" w:w="50"/>
              <w:left w:type="dxa" w:w="110"/>
              <w:bottom w:type="dxa" w:w="50"/>
              <w:right w:type="dxa" w:w="110"/>
            </w:tcMar>
          </w:tcPr>
          <w:p>
            <w:pPr>
              <w:spacing w:after="0" w:line="252"/>
            </w:pPr>
            <w:r>
              <w:rPr>
                <w:b w:val="false"/>
                <w:bCs w:val="false"/>
                <w:color w:val="000000"/>
                <w:sz w:val="19"/>
                <w:szCs w:val="19"/>
              </w:rPr>
              <w:t xml:space="preserve">2 hours</w:t>
            </w:r>
          </w:p>
        </w:tc>
        <w:tc>
          <w:tcPr>
            <w:tcW w:type="dxa" w:w="2300"/>
            <w:shd w:fill="F2F4F8" w:val="clear"/>
            <w:tcMar>
              <w:top w:type="dxa" w:w="50"/>
              <w:left w:type="dxa" w:w="110"/>
              <w:bottom w:type="dxa" w:w="50"/>
              <w:right w:type="dxa" w:w="110"/>
            </w:tcMar>
          </w:tcPr>
          <w:p>
            <w:pPr>
              <w:spacing w:after="0" w:line="252"/>
            </w:pPr>
            <w:r>
              <w:rPr>
                <w:b w:val="false"/>
                <w:bCs w:val="false"/>
                <w:color w:val="000000"/>
                <w:sz w:val="19"/>
                <w:szCs w:val="19"/>
              </w:rPr>
              <w:t xml:space="preserve">1 Business Day</w:t>
            </w:r>
          </w:p>
        </w:tc>
        <w:tc>
          <w:tcPr>
            <w:tcW w:type="dxa" w:w="2326"/>
            <w:shd w:fill="F2F4F8" w:val="clear"/>
            <w:tcMar>
              <w:top w:type="dxa" w:w="50"/>
              <w:left w:type="dxa" w:w="110"/>
              <w:bottom w:type="dxa" w:w="50"/>
              <w:right w:type="dxa" w:w="110"/>
            </w:tcMar>
          </w:tcPr>
          <w:p>
            <w:pPr>
              <w:spacing w:after="0" w:line="252"/>
            </w:pPr>
            <w:r>
              <w:rPr>
                <w:b w:val="false"/>
                <w:bCs w:val="false"/>
                <w:color w:val="000000"/>
                <w:sz w:val="19"/>
                <w:szCs w:val="19"/>
              </w:rPr>
              <w:t xml:space="preserve">15 Business Days</w:t>
            </w:r>
          </w:p>
        </w:tc>
      </w:tr>
      <w:tr>
        <w:trPr>
          <w:tblHeader w:val="false"/>
        </w:trPr>
        <w:tc>
          <w:tcPr>
            <w:tcW w:type="dxa" w:w="2200"/>
            <w:tcMar>
              <w:top w:type="dxa" w:w="50"/>
              <w:left w:type="dxa" w:w="110"/>
              <w:bottom w:type="dxa" w:w="50"/>
              <w:right w:type="dxa" w:w="110"/>
            </w:tcMar>
          </w:tcPr>
          <w:p>
            <w:pPr>
              <w:spacing w:after="0" w:line="252"/>
            </w:pPr>
            <w:r>
              <w:rPr>
                <w:b w:val="false"/>
                <w:bCs w:val="false"/>
                <w:color w:val="000000"/>
                <w:sz w:val="19"/>
                <w:szCs w:val="19"/>
              </w:rPr>
              <w:t xml:space="preserve">Severity 3</w:t>
            </w:r>
          </w:p>
        </w:tc>
        <w:tc>
          <w:tcPr>
            <w:tcW w:type="dxa" w:w="2200"/>
            <w:tcMar>
              <w:top w:type="dxa" w:w="50"/>
              <w:left w:type="dxa" w:w="110"/>
              <w:bottom w:type="dxa" w:w="50"/>
              <w:right w:type="dxa" w:w="110"/>
            </w:tcMar>
          </w:tcPr>
          <w:p>
            <w:pPr>
              <w:spacing w:after="0" w:line="252"/>
            </w:pPr>
            <w:r>
              <w:rPr>
                <w:b w:val="false"/>
                <w:bCs w:val="false"/>
                <w:color w:val="000000"/>
                <w:sz w:val="19"/>
                <w:szCs w:val="19"/>
              </w:rPr>
              <w:t xml:space="preserve">1 Business Day</w:t>
            </w:r>
          </w:p>
        </w:tc>
        <w:tc>
          <w:tcPr>
            <w:tcW w:type="dxa" w:w="2300"/>
            <w:tcMar>
              <w:top w:type="dxa" w:w="50"/>
              <w:left w:type="dxa" w:w="110"/>
              <w:bottom w:type="dxa" w:w="50"/>
              <w:right w:type="dxa" w:w="110"/>
            </w:tcMar>
          </w:tcPr>
          <w:p>
            <w:pPr>
              <w:spacing w:after="0" w:line="252"/>
            </w:pPr>
            <w:r>
              <w:rPr>
                <w:b w:val="false"/>
                <w:bCs w:val="false"/>
                <w:color w:val="000000"/>
                <w:sz w:val="19"/>
                <w:szCs w:val="19"/>
              </w:rPr>
              <w:t xml:space="preserve">5 Business Days</w:t>
            </w:r>
          </w:p>
        </w:tc>
        <w:tc>
          <w:tcPr>
            <w:tcW w:type="dxa" w:w="2326"/>
            <w:tcMar>
              <w:top w:type="dxa" w:w="50"/>
              <w:left w:type="dxa" w:w="110"/>
              <w:bottom w:type="dxa" w:w="50"/>
              <w:right w:type="dxa" w:w="110"/>
            </w:tcMar>
          </w:tcPr>
          <w:p>
            <w:pPr>
              <w:spacing w:after="0" w:line="252"/>
            </w:pPr>
            <w:r>
              <w:rPr>
                <w:b w:val="false"/>
                <w:bCs w:val="false"/>
                <w:color w:val="000000"/>
                <w:sz w:val="19"/>
                <w:szCs w:val="19"/>
              </w:rPr>
              <w:t xml:space="preserve">Next maintenance release</w:t>
            </w:r>
          </w:p>
        </w:tc>
      </w:tr>
      <w:tr>
        <w:trPr>
          <w:tblHeader w:val="false"/>
        </w:trPr>
        <w:tc>
          <w:tcPr>
            <w:tcW w:type="dxa" w:w="2200"/>
            <w:shd w:fill="F2F4F8" w:val="clear"/>
            <w:tcMar>
              <w:top w:type="dxa" w:w="50"/>
              <w:left w:type="dxa" w:w="110"/>
              <w:bottom w:type="dxa" w:w="50"/>
              <w:right w:type="dxa" w:w="110"/>
            </w:tcMar>
          </w:tcPr>
          <w:p>
            <w:pPr>
              <w:spacing w:after="0" w:line="252"/>
            </w:pPr>
            <w:r>
              <w:rPr>
                <w:b w:val="false"/>
                <w:bCs w:val="false"/>
                <w:color w:val="000000"/>
                <w:sz w:val="19"/>
                <w:szCs w:val="19"/>
              </w:rPr>
              <w:t xml:space="preserve">Severity 4</w:t>
            </w:r>
          </w:p>
        </w:tc>
        <w:tc>
          <w:tcPr>
            <w:tcW w:type="dxa" w:w="2200"/>
            <w:shd w:fill="F2F4F8" w:val="clear"/>
            <w:tcMar>
              <w:top w:type="dxa" w:w="50"/>
              <w:left w:type="dxa" w:w="110"/>
              <w:bottom w:type="dxa" w:w="50"/>
              <w:right w:type="dxa" w:w="110"/>
            </w:tcMar>
          </w:tcPr>
          <w:p>
            <w:pPr>
              <w:spacing w:after="0" w:line="252"/>
            </w:pPr>
            <w:r>
              <w:rPr>
                <w:b w:val="false"/>
                <w:bCs w:val="false"/>
                <w:color w:val="000000"/>
                <w:sz w:val="19"/>
                <w:szCs w:val="19"/>
              </w:rPr>
              <w:t xml:space="preserve">2 Business Days</w:t>
            </w:r>
          </w:p>
        </w:tc>
        <w:tc>
          <w:tcPr>
            <w:tcW w:type="dxa" w:w="2300"/>
            <w:shd w:fill="F2F4F8" w:val="clear"/>
            <w:tcMar>
              <w:top w:type="dxa" w:w="50"/>
              <w:left w:type="dxa" w:w="110"/>
              <w:bottom w:type="dxa" w:w="50"/>
              <w:right w:type="dxa" w:w="110"/>
            </w:tcMar>
          </w:tcPr>
          <w:p>
            <w:pPr>
              <w:spacing w:after="0" w:line="252"/>
            </w:pPr>
            <w:r>
              <w:rPr>
                <w:b w:val="false"/>
                <w:bCs w:val="false"/>
                <w:color w:val="000000"/>
                <w:sz w:val="19"/>
                <w:szCs w:val="19"/>
              </w:rPr>
              <w:t xml:space="preserve">n/a</w:t>
            </w:r>
          </w:p>
        </w:tc>
        <w:tc>
          <w:tcPr>
            <w:tcW w:type="dxa" w:w="2326"/>
            <w:shd w:fill="F2F4F8" w:val="clear"/>
            <w:tcMar>
              <w:top w:type="dxa" w:w="50"/>
              <w:left w:type="dxa" w:w="110"/>
              <w:bottom w:type="dxa" w:w="50"/>
              <w:right w:type="dxa" w:w="110"/>
            </w:tcMar>
          </w:tcPr>
          <w:p>
            <w:pPr>
              <w:spacing w:after="0" w:line="252"/>
            </w:pPr>
            <w:r>
              <w:rPr>
                <w:b w:val="false"/>
                <w:bCs w:val="false"/>
                <w:color w:val="000000"/>
                <w:sz w:val="19"/>
                <w:szCs w:val="19"/>
              </w:rPr>
              <w:t xml:space="preserve">Future release at Licensor's discretion</w:t>
            </w:r>
          </w:p>
        </w:tc>
      </w:tr>
    </w:tbl>
    <w:p>
      <w:pPr>
        <w:pStyle w:val="Heading1"/>
      </w:pPr>
      <w:r>
        <w:t xml:space="preserve">4. Availability</w:t>
      </w:r>
    </w:p>
    <w:p>
      <w:pPr>
        <w:spacing w:after="120" w:line="264"/>
      </w:pPr>
      <w:r>
        <w:t xml:space="preserve">The Licensor shall use commercially reasonable endeavours to ensure that the cloud components of the Helmsman platform achieve a monthly availability of not less than 99.7%, measured excluding scheduled maintenance notified at least 5 Business Days in advance. On-robot and on-site components operate independently of cloud availability.</w:t>
      </w:r>
    </w:p>
    <w:p>
      <w:pPr>
        <w:pStyle w:val="Heading1"/>
      </w:pPr>
      <w:r>
        <w:t xml:space="preserve">5. Service credits</w:t>
      </w:r>
    </w:p>
    <w:p>
      <w:pPr>
        <w:spacing w:after="120" w:line="264"/>
      </w:pPr>
      <w:r>
        <w:t xml:space="preserve">If the Licensor fails to meet the Severity 1 target response or the monthly availability target, the Licensee shall be entitled to service credits against the next maintenance and support charge as follows: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5600"/>
        <w:gridCol w:w="3426"/>
      </w:tblGrid>
      <w:tr>
        <w:trPr>
          <w:tblHeader/>
        </w:trPr>
        <w:tc>
          <w:tcPr>
            <w:tcW w:type="dxa" w:w="5600"/>
            <w:shd w:fill="1F3864" w:val="clear"/>
            <w:tcMar>
              <w:top w:type="dxa" w:w="50"/>
              <w:left w:type="dxa" w:w="110"/>
              <w:bottom w:type="dxa" w:w="50"/>
              <w:right w:type="dxa" w:w="110"/>
            </w:tcMar>
          </w:tcPr>
          <w:p>
            <w:pPr>
              <w:spacing w:after="0" w:line="252"/>
            </w:pPr>
            <w:r>
              <w:rPr>
                <w:b/>
                <w:bCs/>
                <w:color w:val="FFFFFF"/>
                <w:sz w:val="19"/>
                <w:szCs w:val="19"/>
              </w:rPr>
              <w:t xml:space="preserve">Failure</w:t>
            </w:r>
          </w:p>
        </w:tc>
        <w:tc>
          <w:tcPr>
            <w:tcW w:type="dxa" w:w="3426"/>
            <w:shd w:fill="1F3864" w:val="clear"/>
            <w:tcMar>
              <w:top w:type="dxa" w:w="50"/>
              <w:left w:type="dxa" w:w="110"/>
              <w:bottom w:type="dxa" w:w="50"/>
              <w:right w:type="dxa" w:w="110"/>
            </w:tcMar>
          </w:tcPr>
          <w:p>
            <w:pPr>
              <w:spacing w:after="0" w:line="252"/>
              <w:jc w:val="right"/>
            </w:pPr>
            <w:r>
              <w:rPr>
                <w:b/>
                <w:bCs/>
                <w:color w:val="FFFFFF"/>
                <w:sz w:val="19"/>
                <w:szCs w:val="19"/>
              </w:rPr>
              <w:t xml:space="preserve">Service credit</w:t>
            </w:r>
          </w:p>
        </w:tc>
      </w:tr>
      <w:tr>
        <w:trPr>
          <w:tblHeader w:val="false"/>
        </w:trPr>
        <w:tc>
          <w:tcPr>
            <w:tcW w:type="dxa" w:w="5600"/>
            <w:tcMar>
              <w:top w:type="dxa" w:w="50"/>
              <w:left w:type="dxa" w:w="110"/>
              <w:bottom w:type="dxa" w:w="50"/>
              <w:right w:type="dxa" w:w="110"/>
            </w:tcMar>
          </w:tcPr>
          <w:p>
            <w:pPr>
              <w:spacing w:after="0" w:line="252"/>
            </w:pPr>
            <w:r>
              <w:rPr>
                <w:b w:val="false"/>
                <w:bCs w:val="false"/>
                <w:color w:val="000000"/>
                <w:sz w:val="19"/>
                <w:szCs w:val="19"/>
              </w:rPr>
              <w:t xml:space="preserve">Each Severity 1 response target missed</w:t>
            </w:r>
          </w:p>
        </w:tc>
        <w:tc>
          <w:tcPr>
            <w:tcW w:type="dxa" w:w="3426"/>
            <w:tcMar>
              <w:top w:type="dxa" w:w="50"/>
              <w:left w:type="dxa" w:w="110"/>
              <w:bottom w:type="dxa" w:w="50"/>
              <w:right w:type="dxa" w:w="110"/>
            </w:tcMar>
          </w:tcPr>
          <w:p>
            <w:pPr>
              <w:spacing w:after="0" w:line="252"/>
              <w:jc w:val="right"/>
            </w:pPr>
            <w:r>
              <w:rPr>
                <w:b w:val="false"/>
                <w:bCs w:val="false"/>
                <w:color w:val="000000"/>
                <w:sz w:val="19"/>
                <w:szCs w:val="19"/>
              </w:rPr>
              <w:t xml:space="preserve">2% of the monthly support charge (capped 10% per month)</w:t>
            </w:r>
          </w:p>
        </w:tc>
      </w:tr>
      <w:tr>
        <w:trPr>
          <w:tblHeader w:val="false"/>
        </w:trPr>
        <w:tc>
          <w:tcPr>
            <w:tcW w:type="dxa" w:w="5600"/>
            <w:shd w:fill="F2F4F8" w:val="clear"/>
            <w:tcMar>
              <w:top w:type="dxa" w:w="50"/>
              <w:left w:type="dxa" w:w="110"/>
              <w:bottom w:type="dxa" w:w="50"/>
              <w:right w:type="dxa" w:w="110"/>
            </w:tcMar>
          </w:tcPr>
          <w:p>
            <w:pPr>
              <w:spacing w:after="0" w:line="252"/>
            </w:pPr>
            <w:r>
              <w:rPr>
                <w:b w:val="false"/>
                <w:bCs w:val="false"/>
                <w:color w:val="000000"/>
                <w:sz w:val="19"/>
                <w:szCs w:val="19"/>
              </w:rPr>
              <w:t xml:space="preserve">Availability 99.0%–99.69%</w:t>
            </w:r>
          </w:p>
        </w:tc>
        <w:tc>
          <w:tcPr>
            <w:tcW w:type="dxa" w:w="3426"/>
            <w:shd w:fill="F2F4F8" w:val="clear"/>
            <w:tcMar>
              <w:top w:type="dxa" w:w="50"/>
              <w:left w:type="dxa" w:w="110"/>
              <w:bottom w:type="dxa" w:w="50"/>
              <w:right w:type="dxa" w:w="110"/>
            </w:tcMar>
          </w:tcPr>
          <w:p>
            <w:pPr>
              <w:spacing w:after="0" w:line="252"/>
              <w:jc w:val="right"/>
            </w:pPr>
            <w:r>
              <w:rPr>
                <w:b w:val="false"/>
                <w:bCs w:val="false"/>
                <w:color w:val="000000"/>
                <w:sz w:val="19"/>
                <w:szCs w:val="19"/>
              </w:rPr>
              <w:t xml:space="preserve">5% of the monthly support charge</w:t>
            </w:r>
          </w:p>
        </w:tc>
      </w:tr>
      <w:tr>
        <w:trPr>
          <w:tblHeader w:val="false"/>
        </w:trPr>
        <w:tc>
          <w:tcPr>
            <w:tcW w:type="dxa" w:w="5600"/>
            <w:tcMar>
              <w:top w:type="dxa" w:w="50"/>
              <w:left w:type="dxa" w:w="110"/>
              <w:bottom w:type="dxa" w:w="50"/>
              <w:right w:type="dxa" w:w="110"/>
            </w:tcMar>
          </w:tcPr>
          <w:p>
            <w:pPr>
              <w:spacing w:after="0" w:line="252"/>
            </w:pPr>
            <w:r>
              <w:rPr>
                <w:b w:val="false"/>
                <w:bCs w:val="false"/>
                <w:color w:val="000000"/>
                <w:sz w:val="19"/>
                <w:szCs w:val="19"/>
              </w:rPr>
              <w:t xml:space="preserve">Availability below 99.0%</w:t>
            </w:r>
          </w:p>
        </w:tc>
        <w:tc>
          <w:tcPr>
            <w:tcW w:type="dxa" w:w="3426"/>
            <w:tcMar>
              <w:top w:type="dxa" w:w="50"/>
              <w:left w:type="dxa" w:w="110"/>
              <w:bottom w:type="dxa" w:w="50"/>
              <w:right w:type="dxa" w:w="110"/>
            </w:tcMar>
          </w:tcPr>
          <w:p>
            <w:pPr>
              <w:spacing w:after="0" w:line="252"/>
              <w:jc w:val="right"/>
            </w:pPr>
            <w:r>
              <w:rPr>
                <w:b w:val="false"/>
                <w:bCs w:val="false"/>
                <w:color w:val="000000"/>
                <w:sz w:val="19"/>
                <w:szCs w:val="19"/>
              </w:rPr>
              <w:t xml:space="preserve">10% of the monthly support charge</w:t>
            </w:r>
          </w:p>
        </w:tc>
      </w:tr>
    </w:tbl>
    <w:p>
      <w:pPr>
        <w:spacing w:before="120"/>
      </w:pPr>
      <w:r>
        <w:t xml:space="preserve">Service credits are the Licensee's sole financial remedy for failure to meet service levels, save in the case of persistent or chronic failure giving rise to a right of termination under the Licence.</w:t>
      </w:r>
    </w:p>
    <w:p>
      <w:pPr>
        <w:pStyle w:val="Heading1"/>
      </w:pPr>
      <w:r>
        <w:t xml:space="preserve">6. Maintenance releases</w:t>
      </w:r>
    </w:p>
    <w:p>
      <w:pPr>
        <w:spacing w:after="120" w:line="264"/>
      </w:pPr>
      <w:r>
        <w:t xml:space="preserve">The Licensor shall make available, at no additional charge, all Updates and maintenance releases it makes generally available to its licensees, together with corresponding Documentation and release notes. The Licensor shall give the Licensee not less than 10 Business Days' notice of any major version upgrade affecting an Authorised Site.</w:t>
      </w:r>
    </w:p>
    <w:p>
      <w:pPr>
        <w:pStyle w:val="Heading1"/>
      </w:pPr>
      <w:r>
        <w:t xml:space="preserve">7. Exclusions</w:t>
      </w:r>
    </w:p>
    <w:p>
      <w:pPr>
        <w:spacing w:after="120" w:line="264"/>
      </w:pPr>
      <w:r>
        <w:t xml:space="preserve">The service levels do not apply to faults caused by the Licensee's misuse, unauthorised modification, hardware or third-party software not supplied or approved by the Licensor, or by force majeure events.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Support and SLA (Schedule 3)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2026-06-26T12:15:17.260Z</dcterms:created>
  <dcterms:modified xsi:type="dcterms:W3CDTF">2026-06-26T12:15:17.260Z</dcterms:modified>
</cp:coreProperties>
</file>

<file path=docProps/custom.xml><?xml version="1.0" encoding="utf-8"?>
<Properties xmlns="http://schemas.openxmlformats.org/officeDocument/2006/custom-properties" xmlns:vt="http://schemas.openxmlformats.org/officeDocument/2006/docPropsVTypes"/>
</file>