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Company number 09421887</w:t>
      </w:r>
    </w:p>
    <w:p>
      <w:pPr>
        <w:spacing w:after="120"/>
        <w:jc w:val="center"/>
      </w:pPr>
      <w:r>
        <w:rPr>
          <w:b/>
          <w:bCs/>
          <w:i w:val="false"/>
          <w:iCs w:val="false"/>
        </w:rPr>
        <w:t xml:space="preserve">THE COMPANIES ACT 2006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</w:rPr>
        <w:t xml:space="preserve">PRIVATE COMPANY LIMITED BY SHARES</w:t>
      </w:r>
    </w:p>
    <w:p>
      <w:pPr>
        <w:spacing w:after="120" w:before="120"/>
        <w:jc w:val="center"/>
      </w:pPr>
      <w:r>
        <w:rPr>
          <w:b/>
          <w:bCs/>
          <w:sz w:val="26"/>
          <w:szCs w:val="26"/>
        </w:rPr>
        <w:t xml:space="preserve">AMENDED AND RESTATED ARTICLES OF ASSOCIATION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</w:rPr>
        <w:t xml:space="preserve">of</w:t>
      </w:r>
    </w:p>
    <w:p>
      <w:pPr>
        <w:spacing w:after="120"/>
        <w:jc w:val="center"/>
      </w:pPr>
      <w:r>
        <w:rPr>
          <w:b/>
          <w:bCs/>
          <w:i w:val="false"/>
          <w:iCs w:val="false"/>
        </w:rPr>
        <w:t xml:space="preserve">PENROSE ROBOTICS LIMITED</w:t>
      </w:r>
    </w:p>
    <w:p>
      <w:pPr>
        <w:spacing w:after="120"/>
        <w:jc w:val="center"/>
      </w:pPr>
      <w:r>
        <w:rPr>
          <w:b w:val="false"/>
          <w:bCs w:val="false"/>
          <w:i/>
          <w:iCs/>
        </w:rPr>
        <w:t xml:space="preserve">(adopted by special resolution passed on 9 April 2026)</w:t>
      </w:r>
    </w:p>
    <w:p>
      <w:r>
        <w:br w:type="page"/>
      </w:r>
    </w:p>
    <w:p>
      <w:pPr>
        <w:pStyle w:val="Heading1"/>
      </w:pPr>
      <w:r>
        <w:t xml:space="preserve">1. Share capital and classes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The share capital of the Company comprises Ordinary Shares of £0.0001 each, Seed Preferred Shares, Series A Preferred Shares, Series B Preferred Shares and Series C Preferred Shares of £0.0001 each, each carrying the rights set out in these Articles.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The Series C Preferred Shares rank ahead of the other classes in respect of the Liquidation Preference and otherwise rank pari passu with the Ordinary Shares on an as-converted basis save as expressly provided.</w:t>
      </w:r>
    </w:p>
    <w:p>
      <w:pPr>
        <w:pStyle w:val="Heading1"/>
      </w:pPr>
      <w:r>
        <w:t xml:space="preserve">2. Liquidation preference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On a Liquidation Event the assets available for distribution shall be applied first in paying to the holders of Series C Preferred Shares an amount equal to the subscription price paid for those shares (1x), and the balance shall be distributed among all shareholders pro rata on an as-converted basis.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Each holder of Series C Preferred Shares may elect to convert into Ordinary Shares and to participate pro rata in priority to receiving the Liquidation Preference if that would yield a greater return.</w:t>
      </w:r>
    </w:p>
    <w:p>
      <w:pPr>
        <w:pStyle w:val="Heading1"/>
      </w:pPr>
      <w:r>
        <w:t xml:space="preserve">3. Conversion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Each Series C Preferred Shares shall convert into Ordinary Shares (a) at the option of the holder at any time, and (b) automatically on a Listing, in each case at the then-applicable Conversion Price.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The initial Conversion Price is the subscription price of £4.4681, subject to adjustment for share sub-divisions, consolidations and the anti-dilution provisions in Article 4.</w:t>
      </w:r>
    </w:p>
    <w:p>
      <w:pPr>
        <w:pStyle w:val="Heading1"/>
      </w:pPr>
      <w:r>
        <w:t xml:space="preserve">4. Anti-dilution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If the Company issues shares at a price per share less than the Conversion Price then in effect, the Conversion Price shall be reduced in accordance with the broad-based weighted average formula set out in this Article.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No adjustment shall be made for issues under the Option Pool or any issue excluded by the consent of the holders of a majority of the Series C Preferred Shares.</w:t>
      </w:r>
    </w:p>
    <w:p>
      <w:pPr>
        <w:pStyle w:val="Heading1"/>
      </w:pPr>
      <w:r>
        <w:t xml:space="preserve">5. Votes and class rights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Subject to these Articles, the Series C Preferred Shares carry the right to vote on an as-converted basis at general meetings.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The rights attaching to the Series C Preferred Shares may only be varied with the consent in writing of the holders of a majority of those shares.</w:t>
      </w:r>
    </w:p>
    <w:p>
      <w:pPr>
        <w:pStyle w:val="Heading1"/>
      </w:pPr>
      <w:r>
        <w:t xml:space="preserve">6. Pre-emption, transfers, drag and tag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The pre-emption rights on issue and transfer, and the drag-along and tag-along provisions, mirror clauses 6 to 8 of the Subscription Agreement and apply to all transfers of shares.</w:t>
      </w:r>
    </w:p>
    <w:p>
      <w:pPr>
        <w:pStyle w:val="Heading1"/>
      </w:pPr>
      <w:r>
        <w:t xml:space="preserve">7. Permitted transfers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Transfers by an Investor to an Affiliate or co-investment vehicle, and transfers by a Founder to a family trust approved by the Investor Majority, are permitted transfers not subject to pre-emption.</w:t>
      </w:r>
    </w:p>
    <w:p>
      <w:pPr>
        <w:pStyle w:val="Heading1"/>
      </w:pPr>
      <w:r>
        <w:t xml:space="preserve">8. Directors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b w:val="false"/>
          <w:bCs w:val="false"/>
        </w:rPr>
        <w:t xml:space="preserve">The board shall comprise the directors appointed in accordance with the shareholders' agreement, including one Investor Director appointed by the Lead Investor.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These Articles were adopted by special resolution of the members on 9 April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777777"/>
        <w:sz w:val="14"/>
        <w:szCs w:val="14"/>
      </w:rPr>
      <w:t xml:space="preserve">Amended &amp; Restated Articles of Association</w:t>
    </w:r>
    <w:r>
      <w:rPr>
        <w:sz w:val="14"/>
        <w:szCs w:val="14"/>
      </w:rPr>
      <w:t xml:space="preserve">	</w:t>
    </w: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6"/>
        <w:szCs w:val="26"/>
      </w:rPr>
      <w:t xml:space="preserve">WHITFIELD CARTER LLP</w:t>
    </w:r>
  </w:p>
  <w:p>
    <w:pPr>
      <w:pBdr>
        <w:bottom w:val="single" w:color="1F3864" w:sz="6" w:space="4"/>
      </w:pBdr>
      <w:jc w:val="center"/>
    </w:pPr>
    <w:r>
      <w:rPr>
        <w:color w:val="555555"/>
        <w:sz w:val="16"/>
        <w:szCs w:val="16"/>
      </w:rPr>
      <w:t xml:space="preserve">22 Bishopsgate, London EC2N 4BQ  •  +44 (0)20 7946 0200  •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2026-06-30T21:47:38.783Z</dcterms:created>
  <dcterms:modified xsi:type="dcterms:W3CDTF">2026-06-30T21:47:38.783Z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