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PROJECT SLATE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Series C — Completion Checklist</w:t>
      </w:r>
    </w:p>
    <w:p>
      <w:pPr>
        <w:spacing w:after="120"/>
        <w:jc w:val="left"/>
      </w:pPr>
      <w:r>
        <w:rPr>
          <w:b w:val="false"/>
          <w:bCs w:val="false"/>
          <w:i/>
          <w:iCs/>
        </w:rPr>
        <w:t xml:space="preserve">Company: Penrose Robotics Limited | Target Completion: 17 April 2026 | Prepared by Whitfield Carter LLP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2200"/>
        <w:gridCol w:w="19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/ step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Series C Subscription &amp; Shareholders' Agreement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 / Birchall Stone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Amended &amp; Restated Articles of Association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Adopted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Investors' Rights Agreement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 Letter — Lead Investor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Disclosure Letter + data room index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/ WC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Board minutes approving Subscription &amp; allotment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Secretary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Shareholder special resolution (adopt Articles)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Secretary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Subscription monies received (£55,000,000)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 client account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Funds flow statement agreed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 / Birchall Stone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 certificates for Series C Shares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Secretary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 register of members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Secretary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SH01 (return of allotment)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 file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 resolution filing (CC04 / Articles)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 file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repayment notice — Pennine Asset Finance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/ WC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Investor Director appointment (Lead)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Secretary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Effective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20"/>
        <w:jc w:val="left"/>
      </w:pPr>
      <w:r>
        <w:rPr>
          <w:b w:val="false"/>
          <w:bCs w:val="false"/>
          <w:i/>
          <w:iCs/>
        </w:rPr>
        <w:t xml:space="preserve">Note: items 12 and 13 to be filed at Companies House within the statutory deadlines following Completion. Bring-down confirmation of warranties to be obtained immediately before Completion.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777777"/>
        <w:sz w:val="14"/>
        <w:szCs w:val="14"/>
      </w:rPr>
      <w:t xml:space="preserve">Completion Checklist</w:t>
    </w:r>
    <w:r>
      <w:rPr>
        <w:sz w:val="14"/>
        <w:szCs w:val="14"/>
      </w:rPr>
      <w:t xml:space="preserve">	</w:t>
    </w:r>
    <w:r>
      <w:rPr>
        <w:color w:val="777777"/>
        <w:sz w:val="14"/>
        <w:szCs w:val="14"/>
      </w:rPr>
      <w:t xml:space="preserve">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6"/>
        <w:szCs w:val="26"/>
      </w:rPr>
      <w:t xml:space="preserve">WHITFIELD CARTER LLP</w:t>
    </w:r>
  </w:p>
  <w:p>
    <w:pPr>
      <w:pBdr>
        <w:bottom w:val="single" w:color="1F3864" w:sz="6" w:space="4"/>
      </w:pBdr>
      <w:jc w:val="center"/>
    </w:pPr>
    <w:r>
      <w:rPr>
        <w:color w:val="555555"/>
        <w:sz w:val="16"/>
        <w:szCs w:val="16"/>
      </w:rPr>
      <w:t xml:space="preserve">22 Bishopsgate, London EC2N 4BQ  •  +44 (0)20 7946 0200  •  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  <w:lvl w:ilvl="1" w15:tentative="1">
      <w:start w:val="1"/>
      <w:numFmt w:val="decimal"/>
      <w:lvlText w:val="%1.%2"/>
      <w:lvlJc w:val="left"/>
      <w:pPr>
        <w:ind w:left="720" w:hanging="720"/>
      </w:pPr>
    </w:lvl>
    <w:lvl w:ilvl="2" w15:tentative="1">
      <w:start w:val="1"/>
      <w:numFmt w:val="lowerLetter"/>
      <w:lvlText w:val="(%3)"/>
      <w:lvlJc w:val="left"/>
      <w:pPr>
        <w:ind w:left="1440" w:hanging="720"/>
      </w:pPr>
    </w:lvl>
    <w:lvl w:ilvl="3" w15:tentative="1">
      <w:start w:val="1"/>
      <w:numFmt w:val="lowerRoman"/>
      <w:lvlText w:val="(%4)"/>
      <w:lvlJc w:val="left"/>
      <w:pPr>
        <w:ind w:left="216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2026-06-30T21:47:38.805Z</dcterms:created>
  <dcterms:modified xsi:type="dcterms:W3CDTF">2026-06-30T21:47:38.805Z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