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From: Penrose Robotics Limited and the Founders (the Warrantors)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To: Thornaby Growth Equity LLP and the other Investors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Dated: 9 April 2026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Dear Sirs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DISCLOSURE LETTER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Project Slate — Series C Subscription and Shareholders' Agreement dated 9 April 2026 (the Agreement)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This is the Disclosure Letter referred to in the Agreement. Terms defined in the Agreement have the same meaning here. This letter qualifies the Warranties in clause 4 and Schedule 3 of the Agreement.</w:t>
      </w:r>
    </w:p>
    <w:p>
      <w:pPr>
        <w:pStyle w:val="Heading1"/>
      </w:pPr>
      <w:r>
        <w:t xml:space="preserve">1. General disclosures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The Investors are deemed to have knowledge of, and the Warranties are qualified by, all matters which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apparent from the constitutional documents of each Group Company filed at Companies House as at the date of this letter;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in the statutory registers of each Group Company;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contained in the documents made available in the data room hosted by the Company under index reference DR-Slate, a copy of the index to which is annexed;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provided for, noted or reserved in the audited accounts for the year ended 31 December 2025 or the management accounts for the two months ended 28 February 2026.</w:t>
      </w:r>
    </w:p>
    <w:p>
      <w:pPr>
        <w:pStyle w:val="Heading1"/>
      </w:pPr>
      <w:r>
        <w:t xml:space="preserve">2. Specific disclosures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The following specific matters are disclosed against the numbered Warranties in Schedule 3: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Against Warranty 2 (Accounts):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The Group has an outstanding venture debt facility with Pennine Asset Finance Limited with £3,200,000 drawn as at 28 February 2026, secured by a debenture. The facility is fairly disclosed and is to be partially repaid from the proceeds of the round at the board's discretion.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Against Warranty 3 (Intellectual property):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The Group's core navigation software incorporates open-source components under permissive licences (MIT and Apache 2.0), as set out in the data room at DR-Slate/IP/04. Patent application GB2511234.8 (autonomous path-planning) is pending and not yet granted.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Against Warranty 4 (Contracts and litigation):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The Company is the claimant in proceedings against Caldervale Distribution Limited (Penrose Robotics v Caldervale Distribution) concerning a disputed pilot deployment contract. The matter is subject to case-management directions and is not expected to be material to the Business. The Company's standard supply agreement with its largest customer contains a change-of-control notification provision but no termination right.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Against Warranty 5 (Employees):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Two senior engineers are on garden leave pending the resolution of restrictive-covenant questions with a former employer; the Company has taken advice and considers the risk to be low. The Option Pool currently has 2,700,000 unallocated shares.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Against Warranty 6 (Tax):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The Company has claimed R&amp;D tax credits in respect of the years ended 31 December 2023, 2024 and 2025. HMRC has opened a routine enquiry into the 2024 claim; the Company's advisers consider the claim to be robust.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Yours faithfully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For and on behalf of Penrose Robotics Limited and the Founders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...................................... (Dr Marcus Penrose, Director)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777777"/>
        <w:sz w:val="14"/>
        <w:szCs w:val="14"/>
      </w:rPr>
      <w:t xml:space="preserve">Disclosure Letter — qualifies the Warranties</w:t>
    </w:r>
    <w:r>
      <w:rPr>
        <w:sz w:val="14"/>
        <w:szCs w:val="14"/>
      </w:rPr>
      <w:t xml:space="preserve">	</w:t>
    </w: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6"/>
        <w:szCs w:val="26"/>
      </w:rPr>
      <w:t xml:space="preserve">WHITFIELD CARTER LLP</w:t>
    </w:r>
  </w:p>
  <w:p>
    <w:pPr>
      <w:pBdr>
        <w:bottom w:val="single" w:color="1F3864" w:sz="6" w:space="4"/>
      </w:pBdr>
      <w:jc w:val="center"/>
    </w:pPr>
    <w:r>
      <w:rPr>
        <w:color w:val="555555"/>
        <w:sz w:val="16"/>
        <w:szCs w:val="16"/>
      </w:rPr>
      <w:t xml:space="preserve">22 Bishopsgate, London EC2N 4BQ  •  +44 (0)20 7946 0200  •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2026-06-30T21:47:38.792Z</dcterms:created>
  <dcterms:modified xsi:type="dcterms:W3CDTF">2026-06-30T21:47:38.792Z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