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i w:val="false"/>
          <w:iCs w:val="false"/>
        </w:rPr>
        <w:t xml:space="preserve">DATED 9 April 2026</w:t>
      </w:r>
    </w:p>
    <w:p>
      <w:pPr>
        <w:spacing w:after="160" w:before="120"/>
        <w:jc w:val="center"/>
      </w:pPr>
      <w:r>
        <w:rPr>
          <w:b/>
          <w:bCs/>
          <w:sz w:val="28"/>
          <w:szCs w:val="28"/>
        </w:rPr>
        <w:t xml:space="preserve">INVESTORS' RIGHTS AGREEMENT</w:t>
      </w:r>
    </w:p>
    <w:p>
      <w:pPr>
        <w:spacing w:after="120"/>
        <w:jc w:val="center"/>
      </w:pPr>
      <w:r>
        <w:rPr>
          <w:b w:val="false"/>
          <w:bCs w:val="false"/>
          <w:i w:val="false"/>
          <w:iCs w:val="false"/>
        </w:rPr>
        <w:t xml:space="preserve">relating to Penrose Robotics Limited</w:t>
      </w:r>
    </w:p>
    <w:p>
      <w:r>
        <w:br w:type="page"/>
      </w:r>
    </w:p>
    <w:p>
      <w:pPr>
        <w:pStyle w:val="Heading1"/>
      </w:pPr>
      <w:r>
        <w:t xml:space="preserve">Parties</w:t>
      </w:r>
    </w:p>
    <w:p>
      <w:pPr>
        <w:pStyle w:val="ListParagraph"/>
        <w:numPr>
          <w:ilvl w:val="0"/>
          <w:numId w:val="2"/>
        </w:numPr>
        <w:spacing w:after="100"/>
        <w:jc w:val="both"/>
      </w:pPr>
      <w:r>
        <w:rPr>
          <w:b w:val="false"/>
          <w:bCs w:val="false"/>
        </w:rPr>
        <w:t xml:space="preserve">Penrose Robotics Limited (the Company);</w:t>
      </w:r>
    </w:p>
    <w:p>
      <w:pPr>
        <w:pStyle w:val="ListParagraph"/>
        <w:numPr>
          <w:ilvl w:val="0"/>
          <w:numId w:val="2"/>
        </w:numPr>
        <w:spacing w:after="100"/>
        <w:jc w:val="both"/>
      </w:pPr>
      <w:r>
        <w:rPr>
          <w:b w:val="false"/>
          <w:bCs w:val="false"/>
        </w:rPr>
        <w:t xml:space="preserve">the Lead Investor and the other Investors named in the Schedule (together, the Investors).</w:t>
      </w:r>
    </w:p>
    <w:p>
      <w:pPr>
        <w:pStyle w:val="Heading1"/>
      </w:pPr>
      <w:r>
        <w:t xml:space="preserve">1. Registration and information rights</w:t>
      </w:r>
    </w:p>
    <w:p>
      <w:pPr>
        <w:pStyle w:val="ListParagraph"/>
        <w:numPr>
          <w:ilvl w:val="1"/>
          <w:numId w:val="2"/>
        </w:numPr>
        <w:spacing w:after="100"/>
        <w:jc w:val="both"/>
      </w:pPr>
      <w:r>
        <w:rPr>
          <w:b w:val="false"/>
          <w:bCs w:val="false"/>
        </w:rPr>
        <w:t xml:space="preserve">The Company shall provide each Investor holding not less than 3 per cent. of the issued share capital with the financial information described in clause 10 of the Subscription Agreement.</w:t>
      </w:r>
    </w:p>
    <w:p>
      <w:pPr>
        <w:pStyle w:val="ListParagraph"/>
        <w:numPr>
          <w:ilvl w:val="1"/>
          <w:numId w:val="2"/>
        </w:numPr>
        <w:spacing w:after="100"/>
        <w:jc w:val="both"/>
      </w:pPr>
      <w:r>
        <w:rPr>
          <w:b w:val="false"/>
          <w:bCs w:val="false"/>
        </w:rPr>
        <w:t xml:space="preserve">The Lead Investor shall have the right to inspect the books and records of the Company on reasonable notice and to discuss the affairs of the Company with senior management.</w:t>
      </w:r>
    </w:p>
    <w:p>
      <w:pPr>
        <w:pStyle w:val="Heading1"/>
      </w:pPr>
      <w:r>
        <w:t xml:space="preserve">2. Pre-emptive rights on new issues</w:t>
      </w:r>
    </w:p>
    <w:p>
      <w:pPr>
        <w:pStyle w:val="ListParagraph"/>
        <w:numPr>
          <w:ilvl w:val="1"/>
          <w:numId w:val="2"/>
        </w:numPr>
        <w:spacing w:after="100"/>
        <w:jc w:val="both"/>
      </w:pPr>
      <w:r>
        <w:rPr>
          <w:b w:val="false"/>
          <w:bCs w:val="false"/>
        </w:rPr>
        <w:t xml:space="preserve">Each Investor shall have the pre-emptive right to participate in future equity issues pro rata to its fully diluted holding, on the terms set out in clause 6 of the Subscription Agreement, in order to maintain its percentage interest.</w:t>
      </w:r>
    </w:p>
    <w:p>
      <w:pPr>
        <w:pStyle w:val="Heading1"/>
      </w:pPr>
      <w:r>
        <w:t xml:space="preserve">3. Anti-dilution protection</w:t>
      </w:r>
    </w:p>
    <w:p>
      <w:pPr>
        <w:pStyle w:val="ListParagraph"/>
        <w:numPr>
          <w:ilvl w:val="1"/>
          <w:numId w:val="2"/>
        </w:numPr>
        <w:spacing w:after="100"/>
        <w:jc w:val="both"/>
      </w:pPr>
      <w:r>
        <w:rPr>
          <w:b w:val="false"/>
          <w:bCs w:val="false"/>
        </w:rPr>
        <w:t xml:space="preserve">The Series C Shares carry broad-based weighted average anti-dilution protection as set out in the Articles. The Company shall notify the Investors of any proposed issue that would trigger an adjustment.</w:t>
      </w:r>
    </w:p>
    <w:p>
      <w:pPr>
        <w:pStyle w:val="Heading1"/>
      </w:pPr>
      <w:r>
        <w:t xml:space="preserve">4. Co-sale and tag-along</w:t>
      </w:r>
    </w:p>
    <w:p>
      <w:pPr>
        <w:pStyle w:val="ListParagraph"/>
        <w:numPr>
          <w:ilvl w:val="1"/>
          <w:numId w:val="2"/>
        </w:numPr>
        <w:spacing w:after="100"/>
        <w:jc w:val="both"/>
      </w:pPr>
      <w:r>
        <w:rPr>
          <w:b w:val="false"/>
          <w:bCs w:val="false"/>
        </w:rPr>
        <w:t xml:space="preserve">If any Founder proposes to transfer shares, each Investor shall have the right to participate in that sale pro rata (the co-sale right), as further provided in clause 8 of the Subscription Agreement.</w:t>
      </w:r>
    </w:p>
    <w:p>
      <w:pPr>
        <w:pStyle w:val="Heading1"/>
      </w:pPr>
      <w:r>
        <w:t xml:space="preserve">5. Board observer</w:t>
      </w:r>
    </w:p>
    <w:p>
      <w:pPr>
        <w:pStyle w:val="ListParagraph"/>
        <w:numPr>
          <w:ilvl w:val="1"/>
          <w:numId w:val="2"/>
        </w:numPr>
        <w:spacing w:after="100"/>
        <w:jc w:val="both"/>
      </w:pPr>
      <w:r>
        <w:rPr>
          <w:b w:val="false"/>
          <w:bCs w:val="false"/>
        </w:rPr>
        <w:t xml:space="preserve">For so long as Westbridge Growth Capital LLP holds not less than 5 per cent. of the issued share capital, it shall be entitled to appoint one non-voting board observer who shall receive board papers and be entitled to attend board meetings.</w:t>
      </w:r>
    </w:p>
    <w:p>
      <w:pPr>
        <w:pStyle w:val="Heading1"/>
      </w:pPr>
      <w:r>
        <w:t xml:space="preserve">6. Most favoured nation</w:t>
      </w:r>
    </w:p>
    <w:p>
      <w:pPr>
        <w:pStyle w:val="ListParagraph"/>
        <w:numPr>
          <w:ilvl w:val="1"/>
          <w:numId w:val="2"/>
        </w:numPr>
        <w:spacing w:after="100"/>
        <w:jc w:val="both"/>
      </w:pPr>
      <w:r>
        <w:rPr>
          <w:b w:val="false"/>
          <w:bCs w:val="false"/>
        </w:rPr>
        <w:t xml:space="preserve">If the Company grants to any other holder of Series C Shares rights more favourable than those granted to the Lead Investor under this Agreement, the Company shall offer equivalent rights to the Lead Investor.</w:t>
      </w:r>
    </w:p>
    <w:p>
      <w:pPr>
        <w:pStyle w:val="Heading1"/>
      </w:pPr>
      <w:r>
        <w:t xml:space="preserve">7. Future financings and IPO</w:t>
      </w:r>
    </w:p>
    <w:p>
      <w:pPr>
        <w:pStyle w:val="ListParagraph"/>
        <w:numPr>
          <w:ilvl w:val="1"/>
          <w:numId w:val="2"/>
        </w:numPr>
        <w:spacing w:after="100"/>
        <w:jc w:val="both"/>
      </w:pPr>
      <w:r>
        <w:rPr>
          <w:b w:val="false"/>
          <w:bCs w:val="false"/>
        </w:rPr>
        <w:t xml:space="preserve">The Company and the Founders shall consult the Lead Investor in good faith in relation to the structure and timing of any future financing or initial public offering, and the Investors shall be entitled to customary registration rights on an IPO to the extent applicable.</w:t>
      </w:r>
    </w:p>
    <w:p>
      <w:pPr>
        <w:pStyle w:val="Heading1"/>
      </w:pPr>
      <w:r>
        <w:t xml:space="preserve">8. Termination</w:t>
      </w:r>
    </w:p>
    <w:p>
      <w:pPr>
        <w:pStyle w:val="ListParagraph"/>
        <w:numPr>
          <w:ilvl w:val="1"/>
          <w:numId w:val="2"/>
        </w:numPr>
        <w:spacing w:after="100"/>
        <w:jc w:val="both"/>
      </w:pPr>
      <w:r>
        <w:rPr>
          <w:b w:val="false"/>
          <w:bCs w:val="false"/>
        </w:rPr>
        <w:t xml:space="preserve">This Agreement terminates automatically on completion of a Listing or an Exit (each as defined in the Articles), save for accrued rights and surviving confidentiality obligations.</w:t>
      </w:r>
    </w:p>
    <w:p>
      <w:pPr>
        <w:pStyle w:val="Heading1"/>
      </w:pPr>
      <w:r>
        <w:t xml:space="preserve">9. General</w:t>
      </w:r>
    </w:p>
    <w:p>
      <w:pPr>
        <w:pStyle w:val="ListParagraph"/>
        <w:numPr>
          <w:ilvl w:val="1"/>
          <w:numId w:val="2"/>
        </w:numPr>
        <w:spacing w:after="100"/>
        <w:jc w:val="both"/>
      </w:pPr>
      <w:r>
        <w:rPr>
          <w:b w:val="false"/>
          <w:bCs w:val="false"/>
        </w:rPr>
        <w:t xml:space="preserve">This Agreement is supplemental to the Subscription Agreement and the Articles. In the event of conflict, the Subscription Agreement prevails. This Agreement is governed by the law of England and Wales.</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Penrose Robotics Limited: ......................................</w:t>
      </w:r>
    </w:p>
    <w:p>
      <w:pPr>
        <w:spacing w:after="120"/>
        <w:jc w:val="left"/>
      </w:pPr>
      <w:r>
        <w:rPr>
          <w:b w:val="false"/>
          <w:bCs w:val="false"/>
          <w:i w:val="false"/>
          <w:iCs w:val="false"/>
        </w:rPr>
        <w:t xml:space="preserve">Signed for and on behalf of Thornaby Growth Equity LLP: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Investors' Rights Agreement</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2026-06-30T21:47:38.774Z</dcterms:created>
  <dcterms:modified xsi:type="dcterms:W3CDTF">2026-06-30T21:47:38.774Z</dcterms:modified>
</cp:coreProperties>
</file>

<file path=docProps/custom.xml><?xml version="1.0" encoding="utf-8"?>
<Properties xmlns="http://schemas.openxmlformats.org/officeDocument/2006/custom-properties" xmlns:vt="http://schemas.openxmlformats.org/officeDocument/2006/docPropsVTypes"/>
</file>