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val="false"/>
          <w:bCs w:val="false"/>
          <w:i/>
          <w:iCs/>
        </w:rPr>
        <w:t xml:space="preserve">Dated 9 April 2026</w:t>
      </w:r>
    </w:p>
    <w:p>
      <w:pPr>
        <w:spacing w:after="120"/>
        <w:jc w:val="left"/>
      </w:pPr>
      <w:r>
        <w:rPr>
          <w:b w:val="false"/>
          <w:bCs w:val="false"/>
          <w:i w:val="false"/>
          <w:iCs w:val="false"/>
        </w:rPr>
        <w:t xml:space="preserve">To: Thornaby Growth Equity LLP (the Lead Investor)</w:t>
      </w:r>
    </w:p>
    <w:p>
      <w:pPr>
        <w:spacing w:after="120"/>
        <w:jc w:val="left"/>
      </w:pPr>
      <w:r>
        <w:rPr>
          <w:b w:val="false"/>
          <w:bCs w:val="false"/>
          <w:i w:val="false"/>
          <w:iCs w:val="false"/>
        </w:rPr>
        <w:t xml:space="preserve">From: Penrose Robotics Limited</w:t>
      </w:r>
    </w:p>
    <w:p>
      <w:pPr>
        <w:spacing w:after="120"/>
        <w:jc w:val="left"/>
      </w:pPr>
      <w:r>
        <w:rPr>
          <w:b w:val="false"/>
          <w:bCs w:val="false"/>
          <w:i w:val="false"/>
          <w:iCs w:val="false"/>
        </w:rPr>
        <w:t xml:space="preserve"> </w:t>
      </w:r>
    </w:p>
    <w:p>
      <w:pPr>
        <w:spacing w:after="120"/>
        <w:jc w:val="center"/>
      </w:pPr>
      <w:r>
        <w:rPr>
          <w:b/>
          <w:bCs/>
          <w:sz w:val="24"/>
          <w:szCs w:val="24"/>
        </w:rPr>
        <w:t xml:space="preserve">SIDE LETTER</w:t>
      </w:r>
    </w:p>
    <w:p>
      <w:pPr>
        <w:spacing w:after="120"/>
        <w:jc w:val="left"/>
      </w:pPr>
      <w:r>
        <w:rPr>
          <w:b/>
          <w:bCs/>
          <w:i w:val="false"/>
          <w:iCs w:val="false"/>
        </w:rPr>
        <w:t xml:space="preserve">Project Slate — Series C Investment</w:t>
      </w:r>
    </w:p>
    <w:p>
      <w:pPr>
        <w:spacing w:after="120"/>
        <w:jc w:val="left"/>
      </w:pPr>
      <w:r>
        <w:rPr>
          <w:b w:val="false"/>
          <w:bCs w:val="false"/>
          <w:i w:val="false"/>
          <w:iCs w:val="false"/>
        </w:rPr>
        <w:t xml:space="preserve">Dear Sirs</w:t>
      </w:r>
    </w:p>
    <w:p>
      <w:pPr>
        <w:spacing w:after="120"/>
        <w:jc w:val="both"/>
      </w:pPr>
      <w:r>
        <w:rPr>
          <w:b w:val="false"/>
          <w:bCs w:val="false"/>
          <w:i w:val="false"/>
          <w:iCs w:val="false"/>
        </w:rPr>
        <w:t xml:space="preserve">This letter is supplemental to the Series C Subscription and Shareholders' Agreement of even date (the Agreement). Terms defined in the Agreement have the same meaning here. This letter records additional rights granted to the Lead Investor in consideration of its lead investment of £42,000,000.</w:t>
      </w:r>
    </w:p>
    <w:p>
      <w:pPr>
        <w:pStyle w:val="Heading1"/>
      </w:pPr>
      <w:r>
        <w:t xml:space="preserve">1. Board and observer</w:t>
      </w:r>
    </w:p>
    <w:p>
      <w:pPr>
        <w:spacing w:after="120"/>
        <w:jc w:val="both"/>
      </w:pPr>
      <w:r>
        <w:rPr>
          <w:b w:val="false"/>
          <w:bCs w:val="false"/>
          <w:i w:val="false"/>
          <w:iCs w:val="false"/>
        </w:rPr>
        <w:t xml:space="preserve">In addition to the Investor Director appointment right in clause 9 of the Agreement, the Lead Investor may, for so long as it holds at least 50% of its Series C Shares, appoint one non-voting observer to attend board meetings.</w:t>
      </w:r>
    </w:p>
    <w:p>
      <w:pPr>
        <w:pStyle w:val="Heading1"/>
      </w:pPr>
      <w:r>
        <w:t xml:space="preserve">2. Enhanced information</w:t>
      </w:r>
    </w:p>
    <w:p>
      <w:pPr>
        <w:spacing w:after="120"/>
        <w:jc w:val="both"/>
      </w:pPr>
      <w:r>
        <w:rPr>
          <w:b w:val="false"/>
          <w:bCs w:val="false"/>
          <w:i w:val="false"/>
          <w:iCs w:val="false"/>
        </w:rPr>
        <w:t xml:space="preserve">The Company shall provide the Lead Investor with: (a) quarterly KPI packs including unit economics and pipeline; (b) a 13-week cash-flow forecast updated monthly; and (c) prompt notice of any breach of the venture debt facility covenants.</w:t>
      </w:r>
    </w:p>
    <w:p>
      <w:pPr>
        <w:pStyle w:val="Heading1"/>
      </w:pPr>
      <w:r>
        <w:t xml:space="preserve">3. Pro-rata and future rounds</w:t>
      </w:r>
    </w:p>
    <w:p>
      <w:pPr>
        <w:spacing w:after="120"/>
        <w:jc w:val="both"/>
      </w:pPr>
      <w:r>
        <w:rPr>
          <w:b w:val="false"/>
          <w:bCs w:val="false"/>
          <w:i w:val="false"/>
          <w:iCs w:val="false"/>
        </w:rPr>
        <w:t xml:space="preserve">The Company shall offer the Lead Investor the right to subscribe for up to 1.25x its pro-rata entitlement in the next equity financing, subject to the pre-emption rights of other shareholders.</w:t>
      </w:r>
    </w:p>
    <w:p>
      <w:pPr>
        <w:pStyle w:val="Heading1"/>
      </w:pPr>
      <w:r>
        <w:t xml:space="preserve">4. Most favoured nation</w:t>
      </w:r>
    </w:p>
    <w:p>
      <w:pPr>
        <w:spacing w:after="120"/>
        <w:jc w:val="both"/>
      </w:pPr>
      <w:r>
        <w:rPr>
          <w:b w:val="false"/>
          <w:bCs w:val="false"/>
          <w:i w:val="false"/>
          <w:iCs w:val="false"/>
        </w:rPr>
        <w:t xml:space="preserve">If the Company grants any other Series C investor rights that are more favourable in the aggregate than those granted to the Lead Investor, the Company shall promptly offer equivalent rights to the Lead Investor.</w:t>
      </w:r>
    </w:p>
    <w:p>
      <w:pPr>
        <w:pStyle w:val="Heading1"/>
      </w:pPr>
      <w:r>
        <w:t xml:space="preserve">5. Confidentiality and law</w:t>
      </w:r>
    </w:p>
    <w:p>
      <w:pPr>
        <w:spacing w:after="120"/>
        <w:jc w:val="both"/>
      </w:pPr>
      <w:r>
        <w:rPr>
          <w:b w:val="false"/>
          <w:bCs w:val="false"/>
          <w:i w:val="false"/>
          <w:iCs w:val="false"/>
        </w:rPr>
        <w:t xml:space="preserve">The existence and terms of this letter are confidential. This letter is governed by the law of England and Wales and is personal to the Lead Investor and not capable of assignment save to an Affiliate.</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Please countersign to confirm your agreement to the above terms.</w:t>
      </w:r>
    </w:p>
    <w:p>
      <w:pPr>
        <w:spacing w:after="120"/>
        <w:jc w:val="left"/>
      </w:pPr>
      <w:r>
        <w:rPr>
          <w:b w:val="false"/>
          <w:bCs w:val="false"/>
          <w:i w:val="false"/>
          <w:iCs w:val="false"/>
        </w:rPr>
        <w:t xml:space="preserve">Yours faithfully</w:t>
      </w:r>
    </w:p>
    <w:p>
      <w:pPr>
        <w:spacing w:after="120"/>
        <w:jc w:val="left"/>
      </w:pPr>
      <w:r>
        <w:rPr>
          <w:b w:val="false"/>
          <w:bCs w:val="false"/>
          <w:i w:val="false"/>
          <w:iCs w:val="false"/>
        </w:rPr>
        <w:t xml:space="preserve">For and on behalf of Penrose Robotics Limited: ......................................</w:t>
      </w:r>
    </w:p>
    <w:p>
      <w:pPr>
        <w:spacing w:after="120"/>
        <w:jc w:val="left"/>
      </w:pPr>
      <w:r>
        <w:rPr>
          <w:b w:val="false"/>
          <w:bCs w:val="false"/>
          <w:i w:val="false"/>
          <w:iCs w:val="false"/>
        </w:rPr>
        <w:t xml:space="preserve">Agreed and accepted by Thornaby Growth Equity LLP: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77777"/>
        <w:sz w:val="14"/>
        <w:szCs w:val="14"/>
      </w:rPr>
      <w:t xml:space="preserve">Side Letter — Lead Investor</w:t>
    </w:r>
    <w:r>
      <w:rPr>
        <w:sz w:val="14"/>
        <w:szCs w:val="14"/>
      </w:rPr>
      <w:t xml:space="preserve">	</w:t>
    </w: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6"/>
        <w:szCs w:val="26"/>
      </w:rPr>
      <w:t xml:space="preserve">WHITFIELD CARTER LLP</w:t>
    </w:r>
  </w:p>
  <w:p>
    <w:pPr>
      <w:pBdr>
        <w:bottom w:val="single" w:color="1F3864" w:sz="6" w:space="4"/>
      </w:pBdr>
      <w:jc w:val="center"/>
    </w:pPr>
    <w:r>
      <w:rPr>
        <w:color w:val="555555"/>
        <w:sz w:val="16"/>
        <w:szCs w:val="16"/>
      </w:rPr>
      <w:t xml:space="preserve">22 Bishopsgate, London EC2N 4BQ  •  +44 (0)20 7946 0200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2026-06-30T21:47:38.798Z</dcterms:created>
  <dcterms:modified xsi:type="dcterms:W3CDTF">2026-06-30T21:47:38.798Z</dcterms:modified>
</cp:coreProperties>
</file>

<file path=docProps/custom.xml><?xml version="1.0" encoding="utf-8"?>
<Properties xmlns="http://schemas.openxmlformats.org/officeDocument/2006/custom-properties" xmlns:vt="http://schemas.openxmlformats.org/officeDocument/2006/docPropsVTypes"/>
</file>