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sz w:val="26"/>
          <w:szCs w:val="26"/>
        </w:rPr>
        <w:t xml:space="preserve">Whitfield Carter LLP</w:t>
      </w:r>
    </w:p>
    <w:p>
      <w:pPr>
        <w:spacing w:after="0"/>
        <w:jc w:val="right"/>
      </w:pPr>
      <w:r>
        <w:rPr>
          <w:sz w:val="18"/>
          <w:szCs w:val="18"/>
        </w:rPr>
        <w:t xml:space="preserve">22 Bishopsgate, London EC2N 4BQ</w:t>
      </w:r>
    </w:p>
    <w:p>
      <w:pPr>
        <w:spacing w:after="60"/>
        <w:jc w:val="right"/>
      </w:pPr>
      <w:r>
        <w:rPr>
          <w:sz w:val="16"/>
          <w:szCs w:val="16"/>
        </w:rPr>
        <w:t xml:space="preserve">T +44 (0)20 7946 0500   DX 138760 Cheapside   whitfieldcarter.com</w:t>
      </w:r>
    </w:p>
    <w:p>
      <w:pPr>
        <w:pBdr>
          <w:bottom w:val="single" w:color="1F3864" w:sz="8" w:space="1"/>
        </w:pBdr>
        <w:spacing w:after="160"/>
      </w:pPr>
      <w:r>
        <w:t xml:space="preserve"/>
      </w:r>
    </w:p>
    <w:p>
      <w:pPr>
        <w:spacing w:after="60"/>
      </w:pPr>
      <w:r>
        <w:rPr>
          <w:b/>
          <w:bCs/>
          <w:sz w:val="24"/>
          <w:szCs w:val="24"/>
        </w:rPr>
        <w:t xml:space="preserve">PROJECT ZEPHYR — COMPLETION AND SIGNATURE CHECKLIST</w:t>
      </w:r>
    </w:p>
    <w:p>
      <w:pPr>
        <w:spacing w:after="140"/>
      </w:pPr>
      <w:r>
        <w:rPr>
          <w:sz w:val="16"/>
          <w:szCs w:val="16"/>
        </w:rPr>
        <w:t xml:space="preserve">Prepared by Whitfield Carter LLP  |  Updated 27 November 2025  |  Target signing: 28 November 2025</w:t>
      </w:r>
    </w:p>
    <w:p>
      <w:pPr>
        <w:spacing w:after="120"/>
      </w:pPr>
      <w:r>
        <w:rPr>
          <w:b/>
          <w:bCs/>
        </w:rPr>
        <w:t xml:space="preserve">Document deliverables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1600"/>
        <w:gridCol w:w="1500"/>
        <w:gridCol w:w="2126"/>
      </w:tblGrid>
      <w:tr>
        <w:tc>
          <w:tcPr>
            <w:tcW w:type="dxa" w:w="5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w:t>
            </w:r>
          </w:p>
        </w:tc>
        <w:tc>
          <w:tcPr>
            <w:tcW w:type="dxa" w:w="33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Document</w:t>
            </w:r>
          </w:p>
        </w:tc>
        <w:tc>
          <w:tcPr>
            <w:tcW w:type="dxa" w:w="16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Form</w:t>
            </w:r>
          </w:p>
        </w:tc>
        <w:tc>
          <w:tcPr>
            <w:tcW w:type="dxa" w:w="1500"/>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Responsible</w:t>
            </w:r>
          </w:p>
        </w:tc>
        <w:tc>
          <w:tcPr>
            <w:tcW w:type="dxa" w:w="2126"/>
            <w:tcBorders>
              <w:top w:val="single" w:color="CCCCCC" w:sz="1"/>
              <w:left w:val="single" w:color="CCCCCC" w:sz="1"/>
              <w:bottom w:val="single" w:color="CCCCCC" w:sz="1"/>
              <w:right w:val="single" w:color="CCCCCC" w:sz="1"/>
            </w:tcBorders>
            <w:shd w:fill="1F3864" w:val="clear"/>
            <w:tcMar>
              <w:top w:type="dxa" w:w="50"/>
              <w:left w:type="dxa" w:w="100"/>
              <w:bottom w:type="dxa" w:w="50"/>
              <w:right w:type="dxa" w:w="100"/>
            </w:tcMar>
          </w:tcPr>
          <w:p>
            <w:r>
              <w:rPr>
                <w:b/>
                <w:bCs/>
                <w:color w:val="FFFFFF"/>
              </w:rPr>
              <w:t xml:space="preserve">Status</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1</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Patent and Technology Licence Agreement (execution version)</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PDF for signature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WC (J. Osei)</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Final — approved both sides</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2</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Schedule 1 — Licensed Patents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Within licence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Hartington IP / WC</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Confirmed</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3</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Schedule 3 — Financial terms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Within licence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WC / Penrose Finance</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Confirmed (£4.5m upfront; 4.5% royalty cap £2.0m; £950k p.a.)</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4</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Schedule 4 — Deployment milestones</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Within licence</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Penrose / Wexbourne ops</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Confirmed (3 × £1.0m)</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5</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Penrose board resolution approving the licence</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PDF (certified)</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Penrose (P. Forsyth)</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Received 26 Nov</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6</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Wexbourne board approval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PDF</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Wexbourne (S. Okafor)</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Received 27 Nov</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7</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Freedom-to-operate / patent-validity opinion</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PDF</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Hartington IP</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Received 4 Nov</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8</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Disclosure / patent schedule index</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Excel</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WC (E. Marchetti)</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Final</w:t>
            </w:r>
          </w:p>
        </w:tc>
      </w:tr>
      <w:tr>
        <w:tc>
          <w:tcPr>
            <w:tcW w:type="dxa" w:w="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9</w:t>
            </w:r>
          </w:p>
        </w:tc>
        <w:tc>
          <w:tcPr>
            <w:tcW w:type="dxa" w:w="33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Royalty &amp; milestone model</w:t>
            </w:r>
          </w:p>
        </w:tc>
        <w:tc>
          <w:tcPr>
            <w:tcW w:type="dxa" w:w="16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Excel</w:t>
            </w:r>
          </w:p>
        </w:tc>
        <w:tc>
          <w:tcPr>
            <w:tcW w:type="dxa" w:w="1500"/>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WC / Penrose Finance</w:t>
            </w:r>
          </w:p>
        </w:tc>
        <w:tc>
          <w:tcPr>
            <w:tcW w:type="dxa" w:w="2126"/>
            <w:tcBorders>
              <w:top w:val="single" w:color="CCCCCC" w:sz="1"/>
              <w:left w:val="single" w:color="CCCCCC" w:sz="1"/>
              <w:bottom w:val="single" w:color="CCCCCC" w:sz="1"/>
              <w:right w:val="single" w:color="CCCCCC" w:sz="1"/>
            </w:tcBorders>
            <w:tcMar>
              <w:top w:type="dxa" w:w="50"/>
              <w:left w:type="dxa" w:w="100"/>
              <w:bottom w:type="dxa" w:w="50"/>
              <w:right w:type="dxa" w:w="100"/>
            </w:tcMar>
          </w:tcPr>
          <w:p>
            <w:r>
              <w:rPr>
                <w:b w:val="false"/>
                <w:bCs w:val="false"/>
              </w:rPr>
              <w:t xml:space="preserve">Final</w:t>
            </w:r>
          </w:p>
        </w:tc>
      </w:tr>
    </w:tbl>
    <w:p>
      <w:pPr>
        <w:spacing w:after="120"/>
      </w:pPr>
      <w:r>
        <w:rPr>
          <w:b/>
          <w:bCs/>
        </w:rPr>
        <w:t xml:space="preserve">Signing logistics</w:t>
      </w:r>
    </w:p>
    <w:p>
      <w:pPr>
        <w:spacing w:after="120"/>
      </w:pPr>
      <w:r>
        <w:t xml:space="preserve">Signature to be by exchange of executed PDF counterparts under clause 14.5, with originals to follow by post. WC to hold signed counterparts in escrow pending confirmation from both parties that exchange may complete. Completion is conditional on payment of the Upfront Fee within 30 days of signature (clause 5 / Schedule 3, paragraph 1).</w:t>
      </w:r>
    </w:p>
    <w:p>
      <w:pPr>
        <w:spacing w:after="120"/>
      </w:pPr>
      <w:r>
        <w:rPr>
          <w:b/>
          <w:bCs/>
        </w:rPr>
        <w:t xml:space="preserve">Conditions to completion</w:t>
      </w:r>
    </w:p>
    <w:p>
      <w:pPr>
        <w:spacing w:after="120"/>
      </w:pPr>
      <w:r>
        <w:t xml:space="preserve">(a) board approvals obtained (items 5–6 above); (b) no outstanding freedom-to-operate concerns (item 7); (c) agreed implementation plan annexed to Schedule 6; and (d) notice details confirmed (Schedule 7).</w:t>
      </w:r>
    </w:p>
    <w:p>
      <w:pPr>
        <w:spacing w:after="120"/>
      </w:pPr>
      <w:r>
        <w:rPr>
          <w:b/>
          <w:bCs/>
        </w:rPr>
        <w:t xml:space="preserve">Post-completion</w:t>
      </w:r>
    </w:p>
    <w:p>
      <w:pPr>
        <w:spacing w:after="120"/>
      </w:pPr>
      <w:r>
        <w:t xml:space="preserve">WC to: (i) circulate a completion bible; (ii) diarise the first Annual Licence Fee on the first anniversary of signature; (iii) diarise M1 target (31 January 2026); and (iv) update the matter record (WC-00142).</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60"/>
      <w:jc w:val="center"/>
    </w:pPr>
    <w:r>
      <w:rPr>
        <w:sz w:val="16"/>
        <w:szCs w:val="16"/>
      </w:rPr>
      <w:t xml:space="preserve">Whitfield Carter LLP  |  Strictly private and confidential  |  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2026-06-26T13:17:15.477Z</dcterms:created>
  <dcterms:modified xsi:type="dcterms:W3CDTF">2026-06-26T13:17:15.477Z</dcterms:modified>
</cp:coreProperties>
</file>

<file path=docProps/custom.xml><?xml version="1.0" encoding="utf-8"?>
<Properties xmlns="http://schemas.openxmlformats.org/officeDocument/2006/custom-properties" xmlns:vt="http://schemas.openxmlformats.org/officeDocument/2006/docPropsVTypes"/>
</file>