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right"/>
      </w:pPr>
      <w:r>
        <w:rPr>
          <w:b/>
          <w:bCs/>
          <w:color w:val="C00000"/>
          <w:sz w:val="18"/>
          <w:szCs w:val="18"/>
        </w:rPr>
        <w:t xml:space="preserve">NON-BINDING — SUBJECT TO CONTRACT</w:t>
      </w:r>
    </w:p>
    <w:p>
      <w:pPr>
        <w:spacing w:after="60" w:before="200"/>
        <w:jc w:val="center"/>
      </w:pPr>
      <w:r>
        <w:rPr>
          <w:b/>
          <w:bCs/>
          <w:sz w:val="26"/>
          <w:szCs w:val="26"/>
        </w:rPr>
        <w:t xml:space="preserve">PROJECT ZEPHYR — INDICATIVE TERM SHEET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Patent and technology licence of the Helmsman platform</w:t>
      </w:r>
    </w:p>
    <w:p>
      <w:pPr>
        <w:spacing w:after="140"/>
      </w:pPr>
      <w:r>
        <w:t xml:space="preserve">Dated 30 September 2025. Prepared by Whitfield Carter LLP for discussion purposes. This term sheet is non-binding save for the sections headed Confidentiality, Exclusivity (of negotiations) and Governing Law, and is subject to contract and to satisfactory due diligence.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Indicative terms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Licensor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Penrose Robotics Limited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Licensee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Wexbourne Retail Group Limited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Subject IP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Helmsman autonomous fleet-orchestration platform (object code) and the related patent family (GB2598447, EP3892511, GB2611203, plus pending EP4123876 and PCT/GB2024/050621) and licensed know-how.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Field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Operation and optimisation of AMR fleets in warehouse and fulfilment environments.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Licence type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Non-exclusive, with three-year exclusivity in the multi-channel retail fulfilment field in the UK.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Permitted sites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Daventry, Lutterworth and Peterborough fulfilment centres; further sites by agreement.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Upfront fee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£4,500,000, payable within 30 days of signature.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Annual licence fee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£950,000 per annum (includes maintenance and support).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Royalty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Running royalty on net benefit value attributable to the licensed products; rate and cap to be agreed (Licensor proposes 5.0% capped at £2.0m p.a.).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Milestones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Three deployment milestones of £1,000,000 each (£3,000,000 total) tied to pilot, multi-site rollout and full-estate optimisation.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Term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Seven (7) years, renewable by agreement.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Liability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Mutual cap to be agreed (Licensor proposes £5.0m per 12-month period), with customary carve-outs.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Conditions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Satisfactory freedom-to-operate position; board approvals; agreed implementation plan.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Exclusivity (negotiations)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45-day exclusive negotiation period from the date of this term sheet.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Governing law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England and Wales; exclusive jurisdiction of the English courts.</w:t>
            </w:r>
          </w:p>
        </w:tc>
      </w:tr>
    </w:tbl>
    <w:p>
      <w:pPr>
        <w:spacing w:after="120"/>
      </w:pPr>
      <w:r>
        <w:t xml:space="preserve">Indicative timetable: NDA executed (early September); term sheet agreed (end September); first licence draft (late September); mark-up exchange (October–November); signature (target late November 2025); pilot acceptance (M1) by 31 January 2026.</w:t>
      </w:r>
    </w:p>
    <w:p>
      <w:pPr>
        <w:spacing w:after="120"/>
      </w:pPr>
      <w:r>
        <w:rPr>
          <w:i/>
          <w:iCs/>
        </w:rPr>
        <w:t xml:space="preserve">This term sheet does not constitute an offer capable of acceptance and creates no legally binding obligation to proceed.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1"/>
      </w:pBdr>
      <w:spacing w:before="60"/>
      <w:jc w:val="center"/>
    </w:pPr>
    <w:r>
      <w:rPr>
        <w:sz w:val="16"/>
        <w:szCs w:val="16"/>
      </w:rPr>
      <w:t xml:space="preserve">Whitfield Carter LLP  |  Strictly private and confidential  | 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2026-06-26T13:17:15.448Z</dcterms:created>
  <dcterms:modified xsi:type="dcterms:W3CDTF">2026-06-26T13:17:15.448Z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