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4"/>
          <w:szCs w:val="24"/>
        </w:rPr>
        <w:t xml:space="preserve">PROJECT QUARTZ — COMPLETION CHECKLIST</w:t>
      </w:r>
    </w:p>
    <w:p>
      <w:pPr>
        <w:spacing w:after="160"/>
      </w:pPr>
      <w:r>
        <w:rPr>
          <w:color w:val="666666"/>
          <w:sz w:val="18"/>
          <w:szCs w:val="18"/>
        </w:rPr>
        <w:t xml:space="preserve">Acquisition of Velloran Hygiene Limited  |  Completion: 28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2400"/>
        <w:gridCol w:w="1800"/>
      </w:tblGrid>
      <w:tr>
        <w:tc>
          <w:tcPr>
            <w:tcW w:type="dxa" w:w="8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Ref</w:t>
            </w:r>
          </w:p>
        </w:tc>
        <w:tc>
          <w:tcPr>
            <w:tcW w:type="dxa" w:w="43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Document / Step</w:t>
            </w:r>
          </w:p>
        </w:tc>
        <w:tc>
          <w:tcPr>
            <w:tcW w:type="dxa" w:w="24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Responsibility</w:t>
            </w:r>
          </w:p>
        </w:tc>
        <w:tc>
          <w:tcPr>
            <w:tcW w:type="dxa" w:w="18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Status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A1</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Share purchase agreement (executed counterparts)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WC / Birchall Stone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A2</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Disclosure Letter and Data Room index</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Birchall Stone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A3</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Tax Covenant (Schedule 7)</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WC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B1</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Stock transfer forms for the Shares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Birchall Stone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B2</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Share certificates / indemnities for lost certificates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Sellers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B3</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Statutory registers and minute books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Sellers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B4</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Resignation of Patricia Velloran as director</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Sellers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B5</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Board minutes of the Company approving transfers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WC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C1</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Service agreement — Geoffrey Velloran (CEO)</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WC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C2</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Service agreement — Anil Suresh (CFO)</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WC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C3</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Consultancy agreement — Patricia Velloran (24 months)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WC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D1</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Release of debenture in favour of Clydesford Bank plc</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Birchall Stone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D2</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Customer consent — Wexbourne Retail (change of control)</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Sellers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Waived / post-completion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E1</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Board minutes of the Buyer authorising the transaction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WC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E2</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Funds flow and completion payment instructions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WC / Strathmore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E3</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Payment of Initial Cash Consideration (£35,750,000)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Strathmore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E4</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Retention Account established (£2,000,000)</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WC / Birchall Stone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Complete</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F1</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Filing of SH01 / updated PSC register at Companies House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WC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Post-completion</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F2</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Stamp duty payment on stock transfer forms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WC</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Post-completion</w:t>
            </w:r>
          </w:p>
        </w:tc>
      </w:tr>
    </w:tbl>
    <w:p>
      <w:pPr>
        <w:spacing w:after="60"/>
      </w:pPr>
      <w:r>
        <w:t xml:space="preserve"/>
      </w:r>
    </w:p>
    <w:p>
      <w:r>
        <w:rPr>
          <w:i/>
          <w:iCs/>
          <w:sz w:val="18"/>
          <w:szCs w:val="18"/>
        </w:rPr>
        <w:t xml:space="preserve">Notes: Item D2 — customer consent from Wexbourne Retail Group was not obtained pre-completion; the Sellers gave a specific indemnity in the Disclosure Letter and the parties agreed to seek consent in the 30 days following completion. All other conditions satisfied at the completion meeting on 28 March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and may be legally privileged.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4"/>
        <w:szCs w:val="24"/>
      </w:rPr>
      <w:t xml:space="preserve">Whitfield Carter LLP</w:t>
    </w:r>
  </w:p>
  <w:p>
    <w:pPr>
      <w:pBdr>
        <w:bottom w:val="single" w:color="2E4A8B" w:sz="6" w:space="6"/>
      </w:pBdr>
      <w:spacing w:after="120"/>
    </w:pPr>
    <w:r>
      <w:rPr>
        <w:color w:val="555555"/>
        <w:sz w:val="16"/>
        <w:szCs w:val="16"/>
      </w:rPr>
      <w:t xml:space="preserve">22 Bishopsgate, London EC2N 4BQ  |  www.whitfieldcarter.com  |  +44 (0)20 7946 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7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2026-06-29T22:52:18.793Z</dcterms:created>
  <dcterms:modified xsi:type="dcterms:W3CDTF">2026-06-29T22:52:18.793Z</dcterms:modified>
</cp:coreProperties>
</file>

<file path=docProps/custom.xml><?xml version="1.0" encoding="utf-8"?>
<Properties xmlns="http://schemas.openxmlformats.org/officeDocument/2006/custom-properties" xmlns:vt="http://schemas.openxmlformats.org/officeDocument/2006/docPropsVTypes"/>
</file>