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sz w:val="20"/>
          <w:szCs w:val="20"/>
        </w:rPr>
        <w:t xml:space="preserve">27 February 2026</w:t>
      </w:r>
    </w:p>
    <w:p>
      <w:r>
        <w:t xml:space="preserve">To:  Strathmore Vellum Bidco Limited (the “Buyer”)</w:t>
      </w:r>
    </w:p>
    <w:p>
      <w:r>
        <w:t xml:space="preserve">From:  Geoffrey Velloran, Patricia Velloran and Aldermarsh Nominees Limited (the “Sellers”)</w:t>
      </w:r>
    </w:p>
    <w:p>
      <w:pPr>
        <w:spacing w:after="60"/>
      </w:pPr>
      <w:r>
        <w:t xml:space="preserve"/>
      </w:r>
    </w:p>
    <w:p>
      <w:pPr>
        <w:spacing w:after="120"/>
      </w:pPr>
      <w:r>
        <w:rPr>
          <w:b/>
          <w:bCs/>
          <w:sz w:val="24"/>
          <w:szCs w:val="24"/>
        </w:rPr>
        <w:t xml:space="preserve">DISCLOSURE LETTER — Project Quartz</w:t>
      </w:r>
    </w:p>
    <w:p>
      <w:r>
        <w:t xml:space="preserve">This is the Disclosure Letter referred to in the share purchase agreement of today’s date relating to the entire issued share capital of Velloran Hygiene Limited (the “Agreement”). Words and expressions defined in the Agreement have the same meaning in this letter.</w:t>
      </w:r>
    </w:p>
    <w:p>
      <w:pPr>
        <w:pStyle w:val="Heading1"/>
      </w:pPr>
      <w:r>
        <w:t xml:space="preserve">1.  General</w:t>
      </w:r>
    </w:p>
    <w:p>
      <w:pPr>
        <w:pStyle w:val="ListParagraph"/>
        <w:numPr>
          <w:ilvl w:val="0"/>
          <w:numId w:val="2"/>
        </w:numPr>
        <w:spacing w:after="80"/>
      </w:pPr>
      <w:r>
        <w:t xml:space="preserve">The Warranties are given subject to, and the Buyer is treated as having knowledge of, the matters disclosed in this letter and its Schedule of specific disclosures, and all matters fairly disclosed in the Data Room (the index to which is annexed).</w:t>
      </w:r>
    </w:p>
    <w:p>
      <w:pPr>
        <w:pStyle w:val="ListParagraph"/>
        <w:numPr>
          <w:ilvl w:val="0"/>
          <w:numId w:val="2"/>
        </w:numPr>
        <w:spacing w:after="80"/>
      </w:pPr>
      <w:r>
        <w:t xml:space="preserve">Disclosure of any matter does not imply any representation, warranty or undertaking not expressly given in the Agreement, nor that the matter is material.</w:t>
      </w:r>
    </w:p>
    <w:p>
      <w:pPr>
        <w:pStyle w:val="ListParagraph"/>
        <w:numPr>
          <w:ilvl w:val="0"/>
          <w:numId w:val="2"/>
        </w:numPr>
        <w:spacing w:after="80"/>
      </w:pPr>
      <w:r>
        <w:t xml:space="preserve">This letter is governed by English law.</w:t>
      </w:r>
    </w:p>
    <w:p>
      <w:pPr>
        <w:pStyle w:val="Heading1"/>
      </w:pPr>
      <w:r>
        <w:t xml:space="preserve">2.  General disclosures</w:t>
      </w:r>
    </w:p>
    <w:p>
      <w:r>
        <w:t xml:space="preserve">There shall be deemed to be disclosed: all matters apparent from the Companies House register, the Land Registry, the registers of trade marks and designs, and the public registers of court proceedings; the contents of the Accounts, the Management Accounts and the Disclosure Bundle; and all matters fairly disclosed in the replies to the Buyer’s due diligence enquiries.</w:t>
      </w:r>
    </w:p>
    <w:p>
      <w:pPr>
        <w:pStyle w:val="Heading1"/>
      </w:pPr>
      <w:r>
        <w:t xml:space="preserve">3.  Specific disclosures</w:t>
      </w:r>
    </w:p>
    <w:p>
      <w:r>
        <w:t xml:space="preserve">The following specific disclosures are made against the numbered Warranties in Schedule 4 to the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Warranty</w:t>
            </w:r>
          </w:p>
        </w:tc>
        <w:tc>
          <w:tcPr>
            <w:tcW w:type="dxa" w:w="76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Specific disclosure</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4.2 (Accounts)</w:t>
            </w:r>
          </w:p>
        </w:tc>
        <w:tc>
          <w:tcPr>
            <w:tcW w:type="dxa" w:w="7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An adjustment of £72,000 was made to stock provisioning in the December 2025 management accounts following a physical count; the adjustment is reflected in the figures used for the Completion Accounts.</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4.5 (Contracts)</w:t>
            </w:r>
          </w:p>
        </w:tc>
        <w:tc>
          <w:tcPr>
            <w:tcW w:type="dxa" w:w="7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The supply agreement with Wexbourne Retail Group Limited dated 1 May 2023 contains a change-of-control clause permitting termination on 60 days’ notice. The customer has indicated informally that it is supportive of the transaction; no consent has yet been obtained.</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4.6 (Employees)</w:t>
            </w:r>
          </w:p>
        </w:tc>
        <w:tc>
          <w:tcPr>
            <w:tcW w:type="dxa" w:w="7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A grievance raised by a warehouse operative in October 2025 remains under internal process; external advice estimates maximum exposure below £15,000.</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4.7 (IP/IT)</w:t>
            </w:r>
          </w:p>
        </w:tc>
        <w:tc>
          <w:tcPr>
            <w:tcW w:type="dxa" w:w="7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The “VelloSan” UK trade mark (registration UK00003488210) is registered; the corresponding EU application is pending examination.</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4.8 (Property)</w:t>
            </w:r>
          </w:p>
        </w:tc>
        <w:tc>
          <w:tcPr>
            <w:tcW w:type="dxa" w:w="7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The Warrington premises are held under a lease dated 24 June 2018 expiring 23 June 2028 with a tenant-only break at June 2026; a rent review is outstanding.</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4.9 (Litigation)</w:t>
            </w:r>
          </w:p>
        </w:tc>
        <w:tc>
          <w:tcPr>
            <w:tcW w:type="dxa" w:w="7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A debt claim of £28,400 against a former distributor is being pursued by the Company; no claims are outstanding against the Company.</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4.10 (HSE)</w:t>
            </w:r>
          </w:p>
        </w:tc>
        <w:tc>
          <w:tcPr>
            <w:tcW w:type="dxa" w:w="7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A COSHH improvement notice issued in 2022 was complied with and closed; documentation is in the Data Room.</w:t>
            </w:r>
          </w:p>
        </w:tc>
      </w:tr>
    </w:tbl>
    <w:p>
      <w:pPr>
        <w:pStyle w:val="Heading1"/>
      </w:pPr>
      <w:r>
        <w:t xml:space="preserve">4.  Data room index</w:t>
      </w:r>
    </w:p>
    <w:p>
      <w:r>
        <w:t xml:space="preserve">A full index of the documents made available in the Data Room is annexed to this letter and is incorporated into it by reference. The Data Room was made available to the Buyer and its advisers from 8 January 2026 to 26 February 2026.</w:t>
      </w:r>
    </w:p>
    <w:p>
      <w:pPr>
        <w:spacing w:after="60"/>
      </w:pPr>
      <w:r>
        <w:t xml:space="preserve"/>
      </w:r>
    </w:p>
    <w:p>
      <w:r>
        <w:t xml:space="preserve">Yours faithfully,</w:t>
      </w:r>
    </w:p>
    <w:p>
      <w:r>
        <w:t xml:space="preserve">__________________________</w:t>
      </w:r>
    </w:p>
    <w:p>
      <w:r>
        <w:t xml:space="preserve">For and on behalf of the Sellers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Confidential and may be legally privileged.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4"/>
        <w:szCs w:val="24"/>
      </w:rPr>
      <w:t xml:space="preserve">Whitfield Carter LLP</w:t>
    </w:r>
  </w:p>
  <w:p>
    <w:pPr>
      <w:pBdr>
        <w:bottom w:val="single" w:color="2E4A8B" w:sz="6" w:space="6"/>
      </w:pBdr>
      <w:spacing w:after="120"/>
    </w:pPr>
    <w:r>
      <w:rPr>
        <w:color w:val="555555"/>
        <w:sz w:val="16"/>
        <w:szCs w:val="16"/>
      </w:rPr>
      <w:t xml:space="preserve">22 Bishopsgate, London EC2N 4BQ  |  www.whitfieldcarter.com  |  +44 (0)20 7946 0000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7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2026-06-29T22:52:18.773Z</dcterms:created>
  <dcterms:modified xsi:type="dcterms:W3CDTF">2026-06-29T22:52:18.773Z</dcterms:modified>
</cp:coreProperties>
</file>

<file path=docProps/custom.xml><?xml version="1.0" encoding="utf-8"?>
<Properties xmlns="http://schemas.openxmlformats.org/officeDocument/2006/custom-properties" xmlns:vt="http://schemas.openxmlformats.org/officeDocument/2006/docPropsVTypes"/>
</file>