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6"/>
          <w:szCs w:val="26"/>
        </w:rPr>
        <w:t xml:space="preserve">HEADS OF TERMS</w:t>
      </w:r>
    </w:p>
    <w:p>
      <w:pPr>
        <w:spacing w:after="60"/>
        <w:jc w:val="center"/>
      </w:pPr>
      <w:r>
        <w:rPr>
          <w:i/>
          <w:iCs/>
          <w:sz w:val="21"/>
          <w:szCs w:val="21"/>
        </w:rPr>
        <w:t xml:space="preserve">Project Quartz — Proposed acquisition of Velloran Hygiene Limited</w:t>
      </w:r>
    </w:p>
    <w:p>
      <w:pPr>
        <w:spacing w:after="160"/>
        <w:jc w:val="center"/>
      </w:pPr>
      <w:r>
        <w:rPr>
          <w:color w:val="666666"/>
          <w:sz w:val="18"/>
          <w:szCs w:val="18"/>
        </w:rPr>
        <w:t xml:space="preserve">Dated 15 December 2025  |  Subject to contract</w:t>
      </w:r>
    </w:p>
    <w:p>
      <w:r>
        <w:t xml:space="preserve">These Heads of Terms record the principal terms on which Strathmore Capital Partners LLP (or a newly incorporated acquisition vehicle, “Bidco”) proposes to acquire the entire issued share capital of Velloran Hygiene Limited (the “Company”). Save for paragraphs 9 to 12 (which are binding), these Heads of Terms are not legally binding and are subject to contract and to satisfactory due diligence.</w:t>
      </w:r>
    </w:p>
    <w:p>
      <w:pPr>
        <w:pStyle w:val="Heading1"/>
      </w:pPr>
      <w:r>
        <w:t xml:space="preserve">1.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rPr>
              <w:t xml:space="preserve">Item</w:t>
            </w:r>
          </w:p>
        </w:tc>
        <w:tc>
          <w:tcPr>
            <w:tcW w:type="dxa" w:w="676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r>
              <w:rPr>
                <w:b/>
                <w:bCs/>
              </w:rPr>
              <w:t xml:space="preserve">Detail</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Buyer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Strathmore Vellum Bidco Limited (to be incorporated), a wholly-owned vehicle of Strathmore Capital Partners LLP</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Sellers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Geoffrey Velloran and Patricia Velloran (the “Founders”) and Aldermarsh Nominees Limited (the “Investor Seller”)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Company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Velloran Hygiene Limited (registered number 06632188)</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Buyer’s solicitors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Whitfield Carter LLP</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Sellers’ solicitors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rPr>
              <w:t xml:space="preserve">Birchall Stone LLP</w:t>
            </w:r>
          </w:p>
        </w:tc>
      </w:tr>
    </w:tbl>
    <w:p>
      <w:pPr>
        <w:pStyle w:val="Heading1"/>
      </w:pPr>
      <w:r>
        <w:t xml:space="preserve">2.  Transaction</w:t>
      </w:r>
    </w:p>
    <w:p>
      <w:pPr>
        <w:pStyle w:val="ListParagraph"/>
        <w:numPr>
          <w:ilvl w:val="0"/>
          <w:numId w:val="2"/>
        </w:numPr>
        <w:spacing w:after="80"/>
      </w:pPr>
      <w:r>
        <w:t xml:space="preserve">The Buyer will acquire 100% of the issued share capital of the Company (the “Shares”) free from all encumbrances, with full title guarantee, on a cash-free, debt-free basis with a normalised level of working capital.</w:t>
      </w:r>
    </w:p>
    <w:p>
      <w:pPr>
        <w:pStyle w:val="Heading1"/>
      </w:pPr>
      <w:r>
        <w:t xml:space="preserve">3.  Consideration</w:t>
      </w:r>
    </w:p>
    <w:p>
      <w:pPr>
        <w:pStyle w:val="ListParagraph"/>
        <w:numPr>
          <w:ilvl w:val="0"/>
          <w:numId w:val="2"/>
        </w:numPr>
        <w:spacing w:after="80"/>
      </w:pPr>
      <w:r>
        <w:t xml:space="preserve">The transaction is based on an </w:t>
      </w:r>
      <w:r>
        <w:rPr>
          <w:b/>
          <w:bCs/>
        </w:rPr>
        <w:t xml:space="preserve">enterprise value of £42,500,000</w:t>
      </w:r>
      <w:r>
        <w:t xml:space="preserve"> (the “Enterprise Value”), to be adjusted at completion to an equity value by adding Cash, deducting Debt and adjusting for the difference between Actual Working Capital and the Target Working Capital. On the basis of the latest management accounts (estimated Cash £1,950,000; Debt £5,700,000) the indicative </w:t>
      </w:r>
      <w:r>
        <w:rPr>
          <w:b/>
          <w:bCs/>
        </w:rPr>
        <w:t xml:space="preserve">equity value is approximately £38,750,000</w:t>
      </w:r>
      <w:r>
        <w:t xml:space="preserve">.</w:t>
      </w:r>
    </w:p>
    <w:p>
      <w:pPr>
        <w:pStyle w:val="ListParagraph"/>
        <w:numPr>
          <w:ilvl w:val="0"/>
          <w:numId w:val="2"/>
        </w:numPr>
        <w:spacing w:after="80"/>
      </w:pPr>
      <w:r>
        <w:t xml:space="preserve">Of the equity value: (a) </w:t>
      </w:r>
      <w:r>
        <w:rPr>
          <w:b/>
          <w:bCs/>
        </w:rPr>
        <w:t xml:space="preserve">£35,750,000</w:t>
      </w:r>
      <w:r>
        <w:t xml:space="preserve"> is payable in cash at completion; and (b) </w:t>
      </w:r>
      <w:r>
        <w:rPr>
          <w:b/>
          <w:bCs/>
        </w:rPr>
        <w:t xml:space="preserve">£3,000,000</w:t>
      </w:r>
      <w:r>
        <w:t xml:space="preserve"> is deferred consideration payable on the first anniversary of completion, subject to no warranty claim then outstanding.</w:t>
      </w:r>
    </w:p>
    <w:p>
      <w:pPr>
        <w:pStyle w:val="ListParagraph"/>
        <w:numPr>
          <w:ilvl w:val="0"/>
          <w:numId w:val="2"/>
        </w:numPr>
        <w:spacing w:after="80"/>
      </w:pPr>
      <w:r>
        <w:t xml:space="preserve">£2,000,000 of the completion cash consideration will be paid into a joint retention account for 18 months as security for warranty and indemnity claims (the “Retention”). The parties will consider in good faith whether warranty and indemnity (W&amp;I) insurance should replace some or all of the Retention.</w:t>
      </w:r>
    </w:p>
    <w:p>
      <w:pPr>
        <w:pStyle w:val="Heading1"/>
      </w:pPr>
      <w:r>
        <w:t xml:space="preserve">4.  Completion accounts</w:t>
      </w:r>
    </w:p>
    <w:p>
      <w:pPr>
        <w:pStyle w:val="ListParagraph"/>
        <w:numPr>
          <w:ilvl w:val="0"/>
          <w:numId w:val="2"/>
        </w:numPr>
        <w:spacing w:after="80"/>
      </w:pPr>
      <w:r>
        <w:t xml:space="preserve">Consideration will be adjusted by reference to completion accounts prepared on the basis set out in the SPA. Target Working Capital will be agreed during diligence and is presently estimated at </w:t>
      </w:r>
      <w:r>
        <w:rPr>
          <w:b/>
          <w:bCs/>
        </w:rPr>
        <w:t xml:space="preserve">£4,100,000</w:t>
      </w:r>
      <w:r>
        <w:t xml:space="preserve">.</w:t>
      </w:r>
    </w:p>
    <w:p>
      <w:pPr>
        <w:pStyle w:val="Heading1"/>
      </w:pPr>
      <w:r>
        <w:t xml:space="preserve">5.  Conditions</w:t>
      </w:r>
    </w:p>
    <w:p>
      <w:pPr>
        <w:pStyle w:val="ListParagraph"/>
        <w:numPr>
          <w:ilvl w:val="0"/>
          <w:numId w:val="3"/>
        </w:numPr>
      </w:pPr>
      <w:r>
        <w:t xml:space="preserve">Satisfactory completion of legal, financial, tax and commercial due diligence;</w:t>
      </w:r>
    </w:p>
    <w:p>
      <w:pPr>
        <w:pStyle w:val="ListParagraph"/>
        <w:numPr>
          <w:ilvl w:val="0"/>
          <w:numId w:val="3"/>
        </w:numPr>
      </w:pPr>
      <w:r>
        <w:t xml:space="preserve">Board and investment committee approval of Strathmore;</w:t>
      </w:r>
    </w:p>
    <w:p>
      <w:pPr>
        <w:pStyle w:val="ListParagraph"/>
        <w:numPr>
          <w:ilvl w:val="0"/>
          <w:numId w:val="3"/>
        </w:numPr>
      </w:pPr>
      <w:r>
        <w:t xml:space="preserve">Entry into agreed-form service agreements with Geoffrey Velloran and the CFO, and a 24-month consultancy arrangement with Patricia Velloran;</w:t>
      </w:r>
    </w:p>
    <w:p>
      <w:pPr>
        <w:pStyle w:val="ListParagraph"/>
        <w:numPr>
          <w:ilvl w:val="0"/>
          <w:numId w:val="3"/>
        </w:numPr>
      </w:pPr>
      <w:r>
        <w:t xml:space="preserve">No material adverse change in the business between signing and completion.</w:t>
      </w:r>
    </w:p>
    <w:p>
      <w:pPr>
        <w:pStyle w:val="Heading1"/>
      </w:pPr>
      <w:r>
        <w:t xml:space="preserve">6.  Restrictive covenants</w:t>
      </w:r>
    </w:p>
    <w:p>
      <w:pPr>
        <w:pStyle w:val="ListParagraph"/>
        <w:numPr>
          <w:ilvl w:val="0"/>
          <w:numId w:val="2"/>
        </w:numPr>
        <w:spacing w:after="80"/>
      </w:pPr>
      <w:r>
        <w:t xml:space="preserve">The Founders will give non-compete and non-solicitation covenants for </w:t>
      </w:r>
      <w:r>
        <w:rPr>
          <w:b/>
          <w:bCs/>
        </w:rPr>
        <w:t xml:space="preserve">30 months</w:t>
      </w:r>
      <w:r>
        <w:t xml:space="preserve"> from completion, and the Investor Seller for 18 months, in each case in customary form.</w:t>
      </w:r>
    </w:p>
    <w:p>
      <w:pPr>
        <w:pStyle w:val="Heading1"/>
      </w:pPr>
      <w:r>
        <w:t xml:space="preserve">7.  Warranties and limitations</w:t>
      </w:r>
    </w:p>
    <w:p>
      <w:pPr>
        <w:pStyle w:val="ListParagraph"/>
        <w:numPr>
          <w:ilvl w:val="0"/>
          <w:numId w:val="2"/>
        </w:numPr>
        <w:spacing w:after="80"/>
      </w:pPr>
      <w:r>
        <w:t xml:space="preserve">The Sellers will give business and tax warranties, with a tax covenant. The aggregate liability of the Sellers for warranty claims (other than fundamental and tax warranties) is expected to be capped at an amount to be agreed, with a de minimis and basket threshold; the Buyer’s opening position is a cap of 30% of Enterprise Value.</w:t>
      </w:r>
    </w:p>
    <w:p>
      <w:pPr>
        <w:pStyle w:val="Heading1"/>
      </w:pPr>
      <w:r>
        <w:t xml:space="preserve">8.  Timetable</w:t>
      </w:r>
    </w:p>
    <w:p>
      <w:pPr>
        <w:pStyle w:val="ListParagraph"/>
        <w:numPr>
          <w:ilvl w:val="0"/>
          <w:numId w:val="2"/>
        </w:numPr>
        <w:spacing w:after="80"/>
      </w:pPr>
      <w:r>
        <w:t xml:space="preserve">The parties aim to exchange the SPA by the end of February 2026 and to complete approximately four weeks thereafter, subject to the conditions in paragraph 5.</w:t>
      </w:r>
    </w:p>
    <w:p>
      <w:pPr>
        <w:pStyle w:val="Heading1"/>
      </w:pPr>
      <w:r>
        <w:t xml:space="preserve">9.  Exclusivity (binding)</w:t>
      </w:r>
    </w:p>
    <w:p>
      <w:pPr>
        <w:pStyle w:val="ListParagraph"/>
        <w:numPr>
          <w:ilvl w:val="0"/>
          <w:numId w:val="2"/>
        </w:numPr>
        <w:spacing w:after="80"/>
      </w:pPr>
      <w:r>
        <w:t xml:space="preserve">The Sellers grant the Buyer exclusivity until </w:t>
      </w:r>
      <w:r>
        <w:rPr>
          <w:b/>
          <w:bCs/>
        </w:rPr>
        <w:t xml:space="preserve">28 February 2026</w:t>
      </w:r>
      <w:r>
        <w:t xml:space="preserve"> during which they will not solicit, encourage or enter into discussions with any other party in respect of a sale of the Company or its business.</w:t>
      </w:r>
    </w:p>
    <w:p>
      <w:pPr>
        <w:pStyle w:val="Heading1"/>
      </w:pPr>
      <w:r>
        <w:t xml:space="preserve">10.  Costs (binding)</w:t>
      </w:r>
    </w:p>
    <w:p>
      <w:pPr>
        <w:pStyle w:val="ListParagraph"/>
        <w:numPr>
          <w:ilvl w:val="0"/>
          <w:numId w:val="2"/>
        </w:numPr>
        <w:spacing w:after="80"/>
      </w:pPr>
      <w:r>
        <w:t xml:space="preserve">Each party bears its own costs. If the Buyer withdraws other than as a result of a Seller breach or a matter materially adverse revealed in diligence, it will contribute up to £25,000 towards the Sellers’ reasonable external costs.</w:t>
      </w:r>
    </w:p>
    <w:p>
      <w:pPr>
        <w:pStyle w:val="Heading1"/>
      </w:pPr>
      <w:r>
        <w:t xml:space="preserve">11.  Confidentiality (binding)</w:t>
      </w:r>
    </w:p>
    <w:p>
      <w:pPr>
        <w:pStyle w:val="ListParagraph"/>
        <w:numPr>
          <w:ilvl w:val="0"/>
          <w:numId w:val="2"/>
        </w:numPr>
        <w:spacing w:after="80"/>
      </w:pPr>
      <w:r>
        <w:t xml:space="preserve">The mutual non-disclosure agreement dated 12 November 2025 continues to apply.</w:t>
      </w:r>
    </w:p>
    <w:p>
      <w:pPr>
        <w:pStyle w:val="Heading1"/>
      </w:pPr>
      <w:r>
        <w:t xml:space="preserve">12.  Governing law (binding)</w:t>
      </w:r>
    </w:p>
    <w:p>
      <w:pPr>
        <w:pStyle w:val="ListParagraph"/>
        <w:numPr>
          <w:ilvl w:val="0"/>
          <w:numId w:val="2"/>
        </w:numPr>
        <w:spacing w:after="80"/>
      </w:pPr>
      <w:r>
        <w:t xml:space="preserve">These Heads of Terms and any dispute arising from them are governed by English law and subject to the exclusive jurisdiction of the English courts.</w:t>
      </w:r>
    </w:p>
    <w:p>
      <w:pPr>
        <w:spacing w:after="60"/>
      </w:pPr>
      <w:r>
        <w:t xml:space="preserve"/>
      </w:r>
    </w:p>
    <w:p>
      <w:r>
        <w:rPr>
          <w:b/>
          <w:bCs/>
        </w:rPr>
        <w:t xml:space="preserve">Agreed in principle, subject to contract:</w:t>
      </w:r>
    </w:p>
    <w:p>
      <w:r>
        <w:t xml:space="preserve">For Strathmore Capital Partners LLP: Daniel Reston, Partner</w:t>
      </w:r>
    </w:p>
    <w:p>
      <w:r>
        <w:t xml:space="preserve">For the Sellers: Geoffrey Velloran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Confidential and may be legally privileged.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4"/>
        <w:szCs w:val="24"/>
      </w:rPr>
      <w:t xml:space="preserve">Whitfield Carter LLP</w:t>
    </w:r>
  </w:p>
  <w:p>
    <w:pPr>
      <w:pBdr>
        <w:bottom w:val="single" w:color="2E4A8B" w:sz="6" w:space="6"/>
      </w:pBdr>
      <w:spacing w:after="120"/>
    </w:pPr>
    <w:r>
      <w:rPr>
        <w:color w:val="555555"/>
        <w:sz w:val="16"/>
        <w:szCs w:val="16"/>
      </w:rPr>
      <w:t xml:space="preserve">22 Bishopsgate, London EC2N 4BQ  |  www.whitfieldcarter.com  |  +44 (0)20 7946 0000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7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2026-06-29T22:52:18.713Z</dcterms:created>
  <dcterms:modified xsi:type="dcterms:W3CDTF">2026-06-29T22:52:18.713Z</dcterms:modified>
</cp:coreProperties>
</file>

<file path=docProps/custom.xml><?xml version="1.0" encoding="utf-8"?>
<Properties xmlns="http://schemas.openxmlformats.org/officeDocument/2006/custom-properties" xmlns:vt="http://schemas.openxmlformats.org/officeDocument/2006/docPropsVTypes"/>
</file>