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WHITFIELD CARTER LLP</w:t>
      </w:r>
    </w:p>
    <w:p>
      <w:pPr>
        <w:spacing w:after="40"/>
        <w:jc w:val="center"/>
      </w:pPr>
      <w:r>
        <w:rPr>
          <w:i/>
          <w:iCs/>
          <w:color w:val="595959"/>
          <w:sz w:val="18"/>
          <w:szCs w:val="18"/>
        </w:rPr>
        <w:t xml:space="preserve">Solicitors</w:t>
      </w:r>
    </w:p>
    <w:p>
      <w:pPr>
        <w:pBdr>
          <w:bottom w:val="single" w:color="1F3864" w:sz="6" w:space="4"/>
        </w:pBdr>
        <w:spacing w:after="160"/>
        <w:jc w:val="center"/>
      </w:pPr>
      <w:r>
        <w:rPr>
          <w:color w:val="595959"/>
          <w:sz w:val="15"/>
          <w:szCs w:val="15"/>
        </w:rPr>
        <w:t xml:space="preserve">22 Bishopsgate, London EC2N 4BQ  |  DX 138760 Cheapside  |  +44 (0)20 7946 0922  |  www.whitfieldcarter.com</w:t>
      </w:r>
    </w:p>
    <w:p>
      <w:pPr>
        <w:spacing w:after="80"/>
      </w:pPr>
      <w:r>
        <w:rPr>
          <w:b/>
          <w:bCs/>
          <w:color w:val="C00000"/>
        </w:rPr>
        <w:t xml:space="preserve">ADVICE NOTE — LEGALLY PRIVILEGED &amp; CONFIDENTIAL</w:t>
      </w:r>
    </w:p>
    <w:p>
      <w:pPr>
        <w:spacing w:after="40"/>
      </w:pPr>
      <w:r>
        <w:rPr>
          <w:sz w:val="19"/>
          <w:szCs w:val="19"/>
        </w:rPr>
        <w:t xml:space="preserve">To: Gordon Sutherland; Lesley Crane (FD) — Sutherland Logistics Limited</w:t>
      </w:r>
    </w:p>
    <w:p>
      <w:pPr>
        <w:spacing w:after="40"/>
      </w:pPr>
      <w:r>
        <w:rPr>
          <w:sz w:val="19"/>
          <w:szCs w:val="19"/>
        </w:rPr>
        <w:t xml:space="preserve">From: James Osei / Sarah Whitfield, Whitfield Carter LLP</w:t>
      </w:r>
    </w:p>
    <w:p>
      <w:pPr>
        <w:spacing w:after="40"/>
      </w:pPr>
      <w:r>
        <w:rPr>
          <w:sz w:val="19"/>
          <w:szCs w:val="19"/>
        </w:rPr>
        <w:t xml:space="preserve">Date: 27 April 2026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Re: Project Juniper — Wexbourne mark-up: liability cap, goods liability and termination</w:t>
      </w:r>
    </w:p>
    <w:p>
      <w:pPr>
        <w:pStyle w:val="Heading2"/>
      </w:pPr>
      <w: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This note advises on the principal commercial and legal points arising from Castle &amp; Vane LLP's first mark-up of the Logistics Services Agreement (their version dated 21 April 2026), and recommends our negotiating position ahead of the call on 6 May.</w:t>
      </w:r>
    </w:p>
    <w:p>
      <w:pPr>
        <w:pStyle w:val="Heading2"/>
      </w:pPr>
      <w:r>
        <w:t xml:space="preserve">2. Liability cap (clause 15.3)</w:t>
      </w:r>
    </w:p>
    <w:p>
      <w:pPr>
        <w:spacing w:after="160"/>
      </w:pPr>
      <w:r>
        <w:rPr>
          <w:sz w:val="21"/>
          <w:szCs w:val="21"/>
        </w:rPr>
        <w:t xml:space="preserve">Wexbourne has increased the annual aggregate liability cap from 125% to 150% of trailing 12-month charges, and the first-year hard figure from £4,886,000 to £5,864,000. A higher cap is plainly to Wexbourne's advantage as customer. Given the value of the contract (Year 1 charges of approximately £3.91m) and the operational risk profile, we consider a cap at 137.5% (≈ £5,375,000 in Year 1) a reasonable landing zone that materially limits the Company's exposure while being defensible to Wexbourne. We recommend countering at 137.5%.</w:t>
      </w:r>
    </w:p>
    <w:p>
      <w:pPr>
        <w:pStyle w:val="Heading2"/>
      </w:pPr>
      <w:r>
        <w:t xml:space="preserve">3. Goods liability (clause 11.2)</w:t>
      </w:r>
    </w:p>
    <w:p>
      <w:pPr>
        <w:spacing w:after="160"/>
      </w:pPr>
      <w:r>
        <w:rPr>
          <w:sz w:val="21"/>
          <w:szCs w:val="21"/>
        </w:rPr>
        <w:t xml:space="preserve">Wexbourne has deleted the £100-per-tonne weight-based sub-limit, leaving liability for lost or damaged Goods at the Customer's cost of the affected Goods. This is a meaningful give-away: weight-based limits (common under RHA/UKWA conditions) cap exposure on high-value, low-weight stock such as small electricals (Category E). However, the Company's goods-in-trust insurance of £8m (clause 16.1) provides cover, and the cost-based limit remains subject to the overall liability cap. On balance we consider this acceptable provided the insurance is confirmed in place before go-live; we will add a new clause 16.3 requiring a non-vitiation endorsement in Wexbourne's favour to support the position.</w:t>
      </w:r>
    </w:p>
    <w:p>
      <w:pPr>
        <w:pStyle w:val="Heading2"/>
      </w:pPr>
      <w:r>
        <w:t xml:space="preserve">4. Termination for convenience (clause 17.1)</w:t>
      </w:r>
    </w:p>
    <w:p>
      <w:pPr>
        <w:spacing w:after="160"/>
      </w:pPr>
      <w:r>
        <w:rPr>
          <w:sz w:val="21"/>
          <w:szCs w:val="21"/>
        </w:rPr>
        <w:t xml:space="preserve">Wexbourne seeks to reduce its convenience-termination notice from 12 to 6 months and to allow exit after the second contract year. This shortens the Company's revenue certainty and increases stranded-cost risk on the mobilisation investment (£420,000) and dedicated racking. We recommend accepting the 6-month notice but pressing for (a) a minimum committed term to the end of Year 2 (which Wexbourne's drafting already concedes) and (b) recovery of unamortised mobilisation costs on early termination, to be reflected in the exit schedule.</w:t>
      </w:r>
    </w:p>
    <w:p>
      <w:pPr>
        <w:pStyle w:val="Heading2"/>
      </w:pPr>
      <w:r>
        <w:t xml:space="preserve">5. Indexation (clause 9.3)</w:t>
      </w:r>
    </w:p>
    <w:p>
      <w:pPr>
        <w:spacing w:after="160"/>
      </w:pPr>
      <w:r>
        <w:rPr>
          <w:sz w:val="21"/>
          <w:szCs w:val="21"/>
        </w:rPr>
        <w:t xml:space="preserve">Wexbourne reduced the CPIH indexation cap from 4% to 3%. In the current inflationary environment a 3% cap risks margin erosion if costs (notably labour and energy) rise faster. We recommend countering at 3.5%.</w:t>
      </w:r>
    </w:p>
    <w:p>
      <w:pPr>
        <w:pStyle w:val="Heading2"/>
      </w:pPr>
      <w:r>
        <w:t xml:space="preserve">6. TUPE</w:t>
      </w:r>
    </w:p>
    <w:p>
      <w:pPr>
        <w:spacing w:after="160"/>
      </w:pPr>
      <w:r>
        <w:rPr>
          <w:sz w:val="21"/>
          <w:szCs w:val="21"/>
        </w:rPr>
        <w:t xml:space="preserve">On commencement, TUPE is unlikely to apply because Wexbourne is not transferring an existing in-house or incumbent-provider operation that is identifiable as an economic entity to the Company; this is a new fulfilment build. On exit, however, TUPE may well apply to staff dedicated to the Wexbourne account, transferring them to a replacement provider or back to Wexbourne. The exit schedule (Schedule 6) and the mutual TUPE indemnities (clause 6.3) address this. No change recommended.</w:t>
      </w:r>
    </w:p>
    <w:p>
      <w:pPr>
        <w:pStyle w:val="Heading2"/>
      </w:pPr>
      <w:r>
        <w:t xml:space="preserve">7. Recommendation</w:t>
      </w:r>
    </w:p>
    <w:p>
      <w:pPr>
        <w:spacing w:after="160"/>
      </w:pPr>
      <w:r>
        <w:rPr>
          <w:sz w:val="21"/>
          <w:szCs w:val="21"/>
        </w:rPr>
        <w:t xml:space="preserve">Proceed to the 6 May call on the basis set out above: cap at 137.5%/£5,375,000; accept the goods-liability change with the new insurance endorsement; accept 6-month convenience notice with stranded-cost protection; counter indexation at 3.5%. We will circulate our mark-up (v3) reflecting these positions before the call.</w:t>
      </w:r>
    </w:p>
    <w:p>
      <w:pPr>
        <w:spacing w:after="160"/>
      </w:pPr>
      <w:r>
        <w:rPr>
          <w:i/>
          <w:iCs/>
          <w:sz w:val="19"/>
          <w:szCs w:val="19"/>
        </w:rPr>
        <w:t xml:space="preserve">This note is provided for the Company and is subject to legal professional privilege. Please do not forward it outside the Company without our consent.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80" w:before="160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Whitfield Carter LLP</dc:creator>
  <cp:lastModifiedBy>Un-named</cp:lastModifiedBy>
  <cp:revision>1</cp:revision>
  <dcterms:created xsi:type="dcterms:W3CDTF">2026-06-26T10:15:45.425Z</dcterms:created>
  <dcterms:modified xsi:type="dcterms:W3CDTF">2026-06-26T10:15:45.425Z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